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28"/>
          <w:szCs w:val="28"/>
        </w:rPr>
        <w:t xml:space="preserve">SIGRO · Sistema de Gestión de Recursos de Obra</w:t>
      </w:r>
    </w:p>
    <w:p>
      <w:pPr>
        <w:spacing w:after="260"/>
        <w:jc w:val="center"/>
      </w:pPr>
      <w:r>
        <w:rPr>
          <w:rFonts w:ascii="Calibri" w:cs="Calibri" w:eastAsia="Calibri" w:hAnsi="Calibri"/>
          <w:color w:val="6B7987"/>
          <w:sz w:val="21"/>
          <w:szCs w:val="21"/>
        </w:rPr>
        <w:t xml:space="preserve">Las tres tarjetas del Sprint 1 · SEVENS INGENIEROS SAC</w:t>
      </w:r>
    </w:p>
    <w:p>
      <w:pPr>
        <w:spacing w:after="100" w:line="276"/>
        <w:ind w:left="0"/>
        <w:jc w:val="both"/>
      </w:pPr>
      <w:r>
        <w:rPr>
          <w:rFonts w:ascii="Calibri" w:cs="Calibri" w:eastAsia="Calibri" w:hAnsi="Calibri"/>
          <w:sz w:val="20"/>
          <w:szCs w:val="20"/>
        </w:rPr>
        <w:t xml:space="preserve">Cada elemento del Product Backlog se trabaja con tres tarjetas. La primera dice qué se va a construir; la segunda dice si ya se puede comprometer; la tercera dice si se puede dar por cerrado. Las tres se aplican a la misma historia, en ese orden, y en tres momentos distintos del sprint.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2500"/>
      </w:tblGrid>
      <w:tr>
        <w:trPr>
          <w:tblHeader/>
        </w:trPr>
        <w:tc>
          <w:tcPr>
            <w:tcW w:type="dxa" w:w="9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Tarjeta</w:t>
            </w:r>
          </w:p>
        </w:tc>
        <w:tc>
          <w:tcPr>
            <w:tcW w:type="dxa" w:w="25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Qué es</w:t>
            </w:r>
          </w:p>
        </w:tc>
        <w:tc>
          <w:tcPr>
            <w:tcW w:type="dxa" w:w="27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Cuándo se aplica</w:t>
            </w:r>
          </w:p>
        </w:tc>
        <w:tc>
          <w:tcPr>
            <w:tcW w:type="dxa" w:w="25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Quién la verifica</w:t>
            </w:r>
          </w:p>
        </w:tc>
      </w:tr>
      <w:tr>
        <w:tc>
          <w:tcPr>
            <w:tcW w:type="dxa" w:w="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1</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Historia de usuario</w:t>
            </w:r>
          </w:p>
        </w:tc>
        <w:tc>
          <w:tcPr>
            <w:tcW w:type="dxa" w:w="2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En el refinamiento, al escribirla</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Product Owner y Developers</w:t>
            </w:r>
          </w:p>
        </w:tc>
      </w:tr>
      <w:tr>
        <w:tc>
          <w:tcPr>
            <w:tcW w:type="dxa" w:w="9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2</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Definición de Listo</w:t>
            </w:r>
          </w:p>
        </w:tc>
        <w:tc>
          <w:tcPr>
            <w:tcW w:type="dxa" w:w="2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Antes del Sprint Planning, para decidir si entra</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Developers con el Product Owner</w:t>
            </w:r>
          </w:p>
        </w:tc>
      </w:tr>
      <w:tr>
        <w:tc>
          <w:tcPr>
            <w:tcW w:type="dxa" w:w="9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3</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Definición de Hecho / Terminado</w:t>
            </w:r>
          </w:p>
        </w:tc>
        <w:tc>
          <w:tcPr>
            <w:tcW w:type="dxa" w:w="2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 cerrar la historia dentro del sprint</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Product Owner (negocio) y Developers (técnico)</w:t>
            </w:r>
          </w:p>
        </w:tc>
      </w:tr>
    </w:tbl>
    <w:p>
      <w:pPr>
        <w:spacing w:after="110" w:before="200"/>
      </w:pPr>
      <w:r>
        <w:rPr>
          <w:rFonts w:ascii="Calibri" w:cs="Calibri" w:eastAsia="Calibri" w:hAnsi="Calibri"/>
          <w:b/>
          <w:bCs/>
          <w:color w:val="1F3864"/>
          <w:sz w:val="22"/>
          <w:szCs w:val="22"/>
        </w:rPr>
        <w:t xml:space="preserve">Una aclaración de vocabulario</w:t>
      </w:r>
    </w:p>
    <w:p>
      <w:pPr>
        <w:spacing w:after="100" w:line="276"/>
        <w:ind w:left="0"/>
        <w:jc w:val="both"/>
      </w:pPr>
      <w:r>
        <w:rPr>
          <w:rFonts w:ascii="Calibri" w:cs="Calibri" w:eastAsia="Calibri" w:hAnsi="Calibri"/>
          <w:sz w:val="20"/>
          <w:szCs w:val="20"/>
        </w:rPr>
        <w:t xml:space="preserve">La Guía de Scrum define un solo compromiso de calidad: la Definición de Terminado. «Hecho» y «Terminado» son dos traducciones del mismo término inglés, Done, por eso van juntos en la Tarjeta 3, dividida en dos mitades: la mitad de negocio, que pregunta si la historia hace lo que el usuario pidió, y la mitad técnica, que pregunta si está construida con el estándar que el equipo acordó. Una historia no está cerrada si le falta cualquiera de las dos.</w:t>
      </w:r>
    </w:p>
    <w:p>
      <w:pPr>
        <w:spacing w:after="110" w:before="200"/>
      </w:pPr>
      <w:r>
        <w:rPr>
          <w:rFonts w:ascii="Calibri" w:cs="Calibri" w:eastAsia="Calibri" w:hAnsi="Calibri"/>
          <w:b/>
          <w:bCs/>
          <w:color w:val="1F3864"/>
          <w:sz w:val="22"/>
          <w:szCs w:val="22"/>
        </w:rPr>
        <w:t xml:space="preserve">Cuántas tarjetas hay</w:t>
      </w:r>
    </w:p>
    <w:p>
      <w:pPr>
        <w:spacing w:after="100" w:line="276"/>
        <w:ind w:left="0"/>
        <w:jc w:val="both"/>
      </w:pPr>
      <w:r>
        <w:rPr>
          <w:rFonts w:ascii="Calibri" w:cs="Calibri" w:eastAsia="Calibri" w:hAnsi="Calibri"/>
          <w:sz w:val="20"/>
          <w:szCs w:val="20"/>
        </w:rPr>
        <w:t xml:space="preserve">El texto de las tarjetas 2 y 3 es uno solo para todo el equipo: es un acuerdo, no un formulario por historia. Lo que cambia de una historia a otra son sus criterios de aceptación y sus condiciones de entrada. Por eso el juego de tarjetas llenas se emite solo para las historias que entran al sprint —diecisiete en el Sprint 1, no las sesenta del Product Backlog— y acompaña a este documento como «Tarjetas por historia».</w:t>
      </w:r>
    </w:p>
    <w:p>
      <w:r>
        <w:br w:type="page"/>
      </w:r>
    </w:p>
    <w:p>
      <w:pPr>
        <w:shd w:fill="44546A" w:color="auto" w:val="clear"/>
        <w:spacing w:after="0"/>
        <w:jc w:val="center"/>
      </w:pPr>
      <w:r>
        <w:rPr>
          <w:rFonts w:ascii="Calibri" w:cs="Calibri" w:eastAsia="Calibri" w:hAnsi="Calibri"/>
          <w:b/>
          <w:bCs/>
          <w:color w:val="FFFFFF"/>
          <w:sz w:val="20"/>
          <w:szCs w:val="20"/>
        </w:rPr>
        <w:t xml:space="preserve">TARJETA 1</w:t>
      </w:r>
    </w:p>
    <w:p>
      <w:pPr>
        <w:shd w:fill="44546A" w:color="auto" w:val="clear"/>
        <w:spacing w:after="0" w:before="0"/>
        <w:jc w:val="center"/>
      </w:pPr>
      <w:r>
        <w:rPr>
          <w:rFonts w:ascii="Calibri" w:cs="Calibri" w:eastAsia="Calibri" w:hAnsi="Calibri"/>
          <w:b/>
          <w:bCs/>
          <w:color w:val="FFFFFF"/>
          <w:sz w:val="30"/>
          <w:szCs w:val="30"/>
        </w:rPr>
        <w:t xml:space="preserve">Historia de usuario</w:t>
      </w:r>
    </w:p>
    <w:p>
      <w:pPr>
        <w:shd w:fill="44546A" w:color="auto" w:val="clear"/>
        <w:spacing w:after="200" w:before="0"/>
        <w:jc w:val="center"/>
      </w:pPr>
      <w:r>
        <w:rPr>
          <w:rFonts w:ascii="Calibri" w:cs="Calibri" w:eastAsia="Calibri" w:hAnsi="Calibri"/>
          <w:i/>
          <w:iCs/>
          <w:color w:val="D6DCE4"/>
          <w:sz w:val="18"/>
          <w:szCs w:val="18"/>
        </w:rPr>
        <w:t xml:space="preserve">Qué se construye y para quién</w:t>
      </w:r>
    </w:p>
    <w:p>
      <w:pPr>
        <w:spacing w:after="100" w:line="276"/>
        <w:ind w:left="0"/>
        <w:jc w:val="both"/>
      </w:pPr>
      <w:r>
        <w:rPr>
          <w:rFonts w:ascii="Calibri" w:cs="Calibri" w:eastAsia="Calibri" w:hAnsi="Calibri"/>
          <w:sz w:val="20"/>
          <w:szCs w:val="20"/>
        </w:rPr>
        <w:t xml:space="preserve">Es la unidad con la que se planifica, se estima y se acepta el trabajo. Describe una necesidad de una persona concreta, no una función del sistema.</w:t>
      </w:r>
    </w:p>
    <w:p>
      <w:pPr>
        <w:spacing w:after="110" w:before="200"/>
      </w:pPr>
      <w:r>
        <w:rPr>
          <w:rFonts w:ascii="Calibri" w:cs="Calibri" w:eastAsia="Calibri" w:hAnsi="Calibri"/>
          <w:b/>
          <w:bCs/>
          <w:color w:val="1F3864"/>
          <w:sz w:val="22"/>
          <w:szCs w:val="22"/>
        </w:rPr>
        <w:t xml:space="preserve">Formato</w:t>
      </w:r>
    </w:p>
    <w:p>
      <w:pPr>
        <w:spacing w:after="100" w:line="276"/>
        <w:ind w:left="0"/>
        <w:jc w:val="center"/>
      </w:pPr>
      <w:r>
        <w:rPr>
          <w:rFonts w:ascii="Calibri" w:cs="Calibri" w:eastAsia="Calibri" w:hAnsi="Calibri"/>
          <w:b/>
          <w:bCs/>
          <w:sz w:val="20"/>
          <w:szCs w:val="20"/>
        </w:rPr>
        <w:t xml:space="preserve">Como [perfil], quiero [necesidad], para [finalidad].</w:t>
      </w:r>
    </w:p>
    <w:p>
      <w:pPr>
        <w:spacing w:after="110" w:before="200"/>
      </w:pPr>
      <w:r>
        <w:rPr>
          <w:rFonts w:ascii="Calibri" w:cs="Calibri" w:eastAsia="Calibri" w:hAnsi="Calibri"/>
          <w:b/>
          <w:bCs/>
          <w:color w:val="1F3864"/>
          <w:sz w:val="22"/>
          <w:szCs w:val="22"/>
        </w:rPr>
        <w:t xml:space="preserve">Reglas de redacción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6200"/>
      </w:tblGrid>
      <w:tr>
        <w:trPr>
          <w:tblHeader/>
        </w:trPr>
        <w:tc>
          <w:tcPr>
            <w:tcW w:type="dxa" w:w="24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Elemento</w:t>
            </w:r>
          </w:p>
        </w:tc>
        <w:tc>
          <w:tcPr>
            <w:tcW w:type="dxa" w:w="62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Regla</w:t>
            </w:r>
          </w:p>
        </w:tc>
      </w:tr>
      <w:tr>
        <w:tc>
          <w:tcPr>
            <w:tcW w:type="dxa" w:w="2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Perfil</w:t>
            </w:r>
          </w:p>
        </w:tc>
        <w:tc>
          <w:tcPr>
            <w:tcW w:type="dxa" w:w="62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Uno de los cuatro del sistema: almacenero, residente de obra, administrador o gerente. Nunca «usuario» ni «el sistema».</w:t>
            </w:r>
          </w:p>
        </w:tc>
      </w:tr>
      <w:tr>
        <w:tc>
          <w:tcPr>
            <w:tcW w:type="dxa" w:w="2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Necesidad</w:t>
            </w:r>
          </w:p>
        </w:tc>
        <w:tc>
          <w:tcPr>
            <w:tcW w:type="dxa" w:w="62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Una sola acción, expresada como algo que la persona hace. El sujeto del verbo es la persona, no el sistema.</w:t>
            </w:r>
          </w:p>
        </w:tc>
      </w:tr>
      <w:tr>
        <w:tc>
          <w:tcPr>
            <w:tcW w:type="dxa" w:w="2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Finalidad</w:t>
            </w:r>
          </w:p>
        </w:tc>
        <w:tc>
          <w:tcPr>
            <w:tcW w:type="dxa" w:w="62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beneficio que obtiene. Nunca repite la necesidad con otras palabras.</w:t>
            </w:r>
          </w:p>
        </w:tc>
      </w:tr>
      <w:tr>
        <w:tc>
          <w:tcPr>
            <w:tcW w:type="dxa" w:w="2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Nombre corto</w:t>
            </w:r>
          </w:p>
        </w:tc>
        <w:tc>
          <w:tcPr>
            <w:tcW w:type="dxa" w:w="62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Verbo en infinitivo más objeto, al modo de un caso de uso, tomado de la lista de verbos permitidos.</w:t>
            </w:r>
          </w:p>
        </w:tc>
      </w:tr>
      <w:tr>
        <w:tc>
          <w:tcPr>
            <w:tcW w:type="dxa" w:w="2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Tamaño</w:t>
            </w:r>
          </w:p>
        </w:tc>
        <w:tc>
          <w:tcPr>
            <w:tcW w:type="dxa" w:w="62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Si no cabe en un sprint, se divide antes de estimarla.</w:t>
            </w:r>
          </w:p>
        </w:tc>
      </w:tr>
    </w:tbl>
    <w:p>
      <w:pPr>
        <w:spacing w:after="110" w:before="200"/>
      </w:pPr>
      <w:r>
        <w:rPr>
          <w:rFonts w:ascii="Calibri" w:cs="Calibri" w:eastAsia="Calibri" w:hAnsi="Calibri"/>
          <w:b/>
          <w:bCs/>
          <w:color w:val="1F3864"/>
          <w:sz w:val="22"/>
          <w:szCs w:val="22"/>
        </w:rPr>
        <w:t xml:space="preserve">Verbos que no se admiten</w:t>
      </w:r>
    </w:p>
    <w:p>
      <w:pPr>
        <w:spacing w:after="100" w:line="276"/>
        <w:ind w:left="0"/>
        <w:jc w:val="both"/>
      </w:pPr>
      <w:r>
        <w:rPr>
          <w:rFonts w:ascii="Calibri" w:cs="Calibri" w:eastAsia="Calibri" w:hAnsi="Calibri"/>
          <w:sz w:val="20"/>
          <w:szCs w:val="20"/>
        </w:rPr>
        <w:t xml:space="preserve">Monitorear, administrar, gestionar, manejar, cargar, ver, controlar y procesar: nombran un campo de acción, no una acción. Se reemplazan por el verbo que dice exactamente qué hace la persona —comparar, registrar, importar, autorizar, consultar, corregir—.</w:t>
      </w:r>
    </w:p>
    <w:p>
      <w:pPr>
        <w:spacing w:after="110" w:before="200"/>
      </w:pPr>
      <w:r>
        <w:rPr>
          <w:rFonts w:ascii="Calibri" w:cs="Calibri" w:eastAsia="Calibri" w:hAnsi="Calibri"/>
          <w:b/>
          <w:bCs/>
          <w:color w:val="1F3864"/>
          <w:sz w:val="22"/>
          <w:szCs w:val="22"/>
        </w:rPr>
        <w:t xml:space="preserve">Ejemplo del backlog</w:t>
      </w:r>
    </w:p>
    <w:p>
      <w:pPr>
        <w:spacing w:after="100" w:line="276"/>
        <w:ind w:left="0"/>
        <w:jc w:val="both"/>
      </w:pPr>
      <w:r>
        <w:rPr>
          <w:rFonts w:ascii="Calibri" w:cs="Calibri" w:eastAsia="Calibri" w:hAnsi="Calibri"/>
          <w:b/>
          <w:bCs/>
          <w:sz w:val="20"/>
          <w:szCs w:val="20"/>
        </w:rPr>
        <w:t xml:space="preserve">HU-39 · Registrar salida de material</w:t>
      </w:r>
    </w:p>
    <w:p>
      <w:pPr>
        <w:spacing w:after="100" w:line="276"/>
        <w:ind w:left="0"/>
        <w:jc w:val="both"/>
      </w:pPr>
      <w:r>
        <w:rPr>
          <w:rFonts w:ascii="Calibri" w:cs="Calibri" w:eastAsia="Calibri" w:hAnsi="Calibri"/>
          <w:i/>
          <w:iCs/>
          <w:sz w:val="20"/>
          <w:szCs w:val="20"/>
        </w:rPr>
        <w:t xml:space="preserve">Como almacenero, quiero registrar la salida con su motivo y quién retira el material, para saber en qué se usó y quién responde por él.</w:t>
      </w:r>
    </w:p>
    <w:p>
      <w:r>
        <w:br w:type="page"/>
      </w:r>
    </w:p>
    <w:p>
      <w:pPr>
        <w:shd w:fill="44546A" w:color="auto" w:val="clear"/>
        <w:spacing w:after="0"/>
        <w:jc w:val="center"/>
      </w:pPr>
      <w:r>
        <w:rPr>
          <w:rFonts w:ascii="Calibri" w:cs="Calibri" w:eastAsia="Calibri" w:hAnsi="Calibri"/>
          <w:b/>
          <w:bCs/>
          <w:color w:val="FFFFFF"/>
          <w:sz w:val="20"/>
          <w:szCs w:val="20"/>
        </w:rPr>
        <w:t xml:space="preserve">TARJETA 2</w:t>
      </w:r>
    </w:p>
    <w:p>
      <w:pPr>
        <w:shd w:fill="44546A" w:color="auto" w:val="clear"/>
        <w:spacing w:after="0" w:before="0"/>
        <w:jc w:val="center"/>
      </w:pPr>
      <w:r>
        <w:rPr>
          <w:rFonts w:ascii="Calibri" w:cs="Calibri" w:eastAsia="Calibri" w:hAnsi="Calibri"/>
          <w:b/>
          <w:bCs/>
          <w:color w:val="FFFFFF"/>
          <w:sz w:val="30"/>
          <w:szCs w:val="30"/>
        </w:rPr>
        <w:t xml:space="preserve">Definición de Listo</w:t>
      </w:r>
    </w:p>
    <w:p>
      <w:pPr>
        <w:shd w:fill="44546A" w:color="auto" w:val="clear"/>
        <w:spacing w:after="200" w:before="0"/>
        <w:jc w:val="center"/>
      </w:pPr>
      <w:r>
        <w:rPr>
          <w:rFonts w:ascii="Calibri" w:cs="Calibri" w:eastAsia="Calibri" w:hAnsi="Calibri"/>
          <w:i/>
          <w:iCs/>
          <w:color w:val="D6DCE4"/>
          <w:sz w:val="18"/>
          <w:szCs w:val="18"/>
        </w:rPr>
        <w:t xml:space="preserve">¿Puede entrar al sprint?</w:t>
      </w:r>
    </w:p>
    <w:p>
      <w:pPr>
        <w:spacing w:after="100" w:line="276"/>
        <w:ind w:left="0"/>
        <w:jc w:val="both"/>
      </w:pPr>
      <w:r>
        <w:rPr>
          <w:rFonts w:ascii="Calibri" w:cs="Calibri" w:eastAsia="Calibri" w:hAnsi="Calibri"/>
          <w:sz w:val="20"/>
          <w:szCs w:val="20"/>
        </w:rPr>
        <w:t xml:space="preserve">Se aplica en el refinamiento, antes del Sprint Planning. Una historia que no cumple los nueve criterios no se compromete: se corrige o espera al siguiente sprint. Evita empezar a construir algo que todavía no se entiende.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400"/>
      </w:tblGrid>
      <w:tr>
        <w:trPr>
          <w:tblHeader/>
        </w:trPr>
        <w:tc>
          <w:tcPr>
            <w:tcW w:type="dxa" w:w="7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N.°</w:t>
            </w:r>
          </w:p>
        </w:tc>
        <w:tc>
          <w:tcPr>
            <w:tcW w:type="dxa" w:w="25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Criterio</w:t>
            </w:r>
          </w:p>
        </w:tc>
        <w:tc>
          <w:tcPr>
            <w:tcW w:type="dxa" w:w="54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Cómo se comprueba</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L1</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Redactada en el formato acordado</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Dice «Como [perfil], quiero [necesidad], para [finalidad]», con uno de los cuatro perfiles del sistema.</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L2</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Nombre corto en forma de acción</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Verbo en infinitivo más objeto, de la lista de verbos permitidos.</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L3</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Criterios de aceptación escritos</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 menos dos, verificables, redactados por el Product Owner y entendidos por quien la va a construir.</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L4</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Dependencias resueltas</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Las historias de las que depende ya están Terminadas, o están comprometidas antes en el mismo sprint.</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L5</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Estimada por los Developers</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Tiene puntos puestos por quienes la van a construir, no por el Product Owner.</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L6</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Cabe en un sprint</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Si supera los 8 puntos, se divide antes de comprometerla.</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L7</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Reglas de dominio identificadas</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Se declara cuáles le aplican: libro sin borrado, idempotencia del registro sin señal, costo promedio ponderado, dispositivo autorizado por obra.</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L8</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Datos de prueba disponibles</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Existe con qué probarla. Para las importaciones, el archivo real exportado del S10, no uno inventado.</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L9</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Responsable técnico asignado</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Tiene nombre y área: backend, Android, integraciones o web.</w:t>
            </w:r>
          </w:p>
        </w:tc>
      </w:tr>
    </w:tbl>
    <w:p>
      <w:pPr>
        <w:spacing w:after="110" w:before="200"/>
      </w:pPr>
      <w:r>
        <w:rPr>
          <w:rFonts w:ascii="Calibri" w:cs="Calibri" w:eastAsia="Calibri" w:hAnsi="Calibri"/>
          <w:b/>
          <w:bCs/>
          <w:color w:val="1F3864"/>
          <w:sz w:val="22"/>
          <w:szCs w:val="22"/>
        </w:rPr>
        <w:t xml:space="preserve">Qué pasa si no cumple</w:t>
      </w:r>
    </w:p>
    <w:p>
      <w:pPr>
        <w:spacing w:after="100" w:line="276"/>
        <w:ind w:left="0"/>
        <w:jc w:val="both"/>
      </w:pPr>
      <w:r>
        <w:rPr>
          <w:rFonts w:ascii="Calibri" w:cs="Calibri" w:eastAsia="Calibri" w:hAnsi="Calibri"/>
          <w:sz w:val="20"/>
          <w:szCs w:val="20"/>
        </w:rPr>
        <w:t xml:space="preserve">No se discute en el Sprint Planning. Vuelve al refinamiento con el criterio que falla anotado y con un responsable de conseguirlo. Dos criterios dependen de alguien fuera del equipo —L8 del cliente, L4 de otra historia—, por eso se revisan con una semana de anticipación.</w:t>
      </w:r>
    </w:p>
    <w:p>
      <w:r>
        <w:br w:type="page"/>
      </w:r>
    </w:p>
    <w:p>
      <w:pPr>
        <w:shd w:fill="44546A" w:color="auto" w:val="clear"/>
        <w:spacing w:after="0"/>
        <w:jc w:val="center"/>
      </w:pPr>
      <w:r>
        <w:rPr>
          <w:rFonts w:ascii="Calibri" w:cs="Calibri" w:eastAsia="Calibri" w:hAnsi="Calibri"/>
          <w:b/>
          <w:bCs/>
          <w:color w:val="FFFFFF"/>
          <w:sz w:val="20"/>
          <w:szCs w:val="20"/>
        </w:rPr>
        <w:t xml:space="preserve">TARJETA 3</w:t>
      </w:r>
    </w:p>
    <w:p>
      <w:pPr>
        <w:shd w:fill="44546A" w:color="auto" w:val="clear"/>
        <w:spacing w:after="0" w:before="0"/>
        <w:jc w:val="center"/>
      </w:pPr>
      <w:r>
        <w:rPr>
          <w:rFonts w:ascii="Calibri" w:cs="Calibri" w:eastAsia="Calibri" w:hAnsi="Calibri"/>
          <w:b/>
          <w:bCs/>
          <w:color w:val="FFFFFF"/>
          <w:sz w:val="30"/>
          <w:szCs w:val="30"/>
        </w:rPr>
        <w:t xml:space="preserve">Definición de Hecho / Terminado</w:t>
      </w:r>
    </w:p>
    <w:p>
      <w:pPr>
        <w:shd w:fill="44546A" w:color="auto" w:val="clear"/>
        <w:spacing w:after="200" w:before="0"/>
        <w:jc w:val="center"/>
      </w:pPr>
      <w:r>
        <w:rPr>
          <w:rFonts w:ascii="Calibri" w:cs="Calibri" w:eastAsia="Calibri" w:hAnsi="Calibri"/>
          <w:i/>
          <w:iCs/>
          <w:color w:val="D6DCE4"/>
          <w:sz w:val="18"/>
          <w:szCs w:val="18"/>
        </w:rPr>
        <w:t xml:space="preserve">¿Se puede dar por cerrada?</w:t>
      </w:r>
    </w:p>
    <w:p>
      <w:pPr>
        <w:spacing w:after="100" w:line="276"/>
        <w:ind w:left="0"/>
        <w:jc w:val="both"/>
      </w:pPr>
      <w:r>
        <w:rPr>
          <w:rFonts w:ascii="Calibri" w:cs="Calibri" w:eastAsia="Calibri" w:hAnsi="Calibri"/>
          <w:sz w:val="20"/>
          <w:szCs w:val="20"/>
        </w:rPr>
        <w:t xml:space="preserve">Se aplica al cerrar cada historia, dentro del sprint. Tiene dos mitades y exige las dos: una historia puede hacer lo que el usuario pidió y no estar terminada porque nadie la revisó, no se probó o no se desplegó.</w:t>
      </w:r>
    </w:p>
    <w:p>
      <w:pPr>
        <w:spacing w:after="110" w:before="200"/>
      </w:pPr>
      <w:r>
        <w:rPr>
          <w:rFonts w:ascii="Calibri" w:cs="Calibri" w:eastAsia="Calibri" w:hAnsi="Calibri"/>
          <w:b/>
          <w:bCs/>
          <w:color w:val="1F3864"/>
          <w:sz w:val="22"/>
          <w:szCs w:val="22"/>
        </w:rPr>
        <w:t xml:space="preserve">Mitad de negocio · lo verifica el Product Owner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400"/>
      </w:tblGrid>
      <w:tr>
        <w:trPr>
          <w:tblHeader/>
        </w:trPr>
        <w:tc>
          <w:tcPr>
            <w:tcW w:type="dxa" w:w="7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N.°</w:t>
            </w:r>
          </w:p>
        </w:tc>
        <w:tc>
          <w:tcPr>
            <w:tcW w:type="dxa" w:w="25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Criterio</w:t>
            </w:r>
          </w:p>
        </w:tc>
        <w:tc>
          <w:tcPr>
            <w:tcW w:type="dxa" w:w="54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Cómo se comprueba</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H1</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Los criterios de aceptación se cumplen</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Se recorre cada criterio de la historia y se deja constancia del resultado de cada uno. No basta con que la pantalla funcione.</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H2</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comportamiento observado es el acordado</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Product Owner ejecuta la historia él mismo, con los datos del caso real, y obtiene el resultado que esperaba.</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H3</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Las reglas de negocio se respetan</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movimiento no se borra, el reenvío no duplica, el saldo lo calcula el servidor, el costo se congela al salir.</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H4</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Los casos de error se comportan bien</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Lo que la historia debe impedir, lo impide: sacar más de lo disponible, recibir más de lo comprado, registrar fuera del plazo de la obra.</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H5</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Product Owner la acepta</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Queda registrada su aceptación. Si no la acepta, la historia regresa al Product Backlog con el motivo anotado.</w:t>
            </w:r>
          </w:p>
        </w:tc>
      </w:tr>
    </w:tbl>
    <w:p>
      <w:pPr>
        <w:spacing w:after="110" w:before="200"/>
      </w:pPr>
      <w:r>
        <w:rPr>
          <w:rFonts w:ascii="Calibri" w:cs="Calibri" w:eastAsia="Calibri" w:hAnsi="Calibri"/>
          <w:b/>
          <w:bCs/>
          <w:color w:val="1F3864"/>
          <w:sz w:val="22"/>
          <w:szCs w:val="22"/>
        </w:rPr>
        <w:t xml:space="preserve">Mitad técnica · la verifican los Developers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400"/>
      </w:tblGrid>
      <w:tr>
        <w:trPr>
          <w:tblHeader/>
        </w:trPr>
        <w:tc>
          <w:tcPr>
            <w:tcW w:type="dxa" w:w="7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N.°</w:t>
            </w:r>
          </w:p>
        </w:tc>
        <w:tc>
          <w:tcPr>
            <w:tcW w:type="dxa" w:w="25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Criterio</w:t>
            </w:r>
          </w:p>
        </w:tc>
        <w:tc>
          <w:tcPr>
            <w:tcW w:type="dxa" w:w="5400"/>
            <w:shd w:fill="44546A"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Cómo se comprueba</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T1</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Código en la rama principal</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Entró por Pull Request aprobado por un integrante distinto del autor, aunque el cambio sea pequeño.</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T2</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Migración de base de datos aplicada</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Corre sobre una base limpia y sobre una con datos, y existe la manera de revertirla.</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T3</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Lógica de dominio con pruebas</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cálculo de saldo, el costo promedio ponderado y la generación de semanas tienen pruebas que corren sin levantar la base de datos.</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T4</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Reglas críticas probadas</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Según la historia: que un reenvío con el mismo identificador no duplique; que un movimiento no se pueda modificar ni borrar; que el saldo lo recalcule el servidor; que un dispositivo no autorizado sea rechazado.</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T5</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Probada en condiciones de obra</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Las historias del cliente Android se prueban con el equipo en modo avión y recuperando la señal después, no solo con el emulador conectado.</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T6</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Desplegada en el ambiente de pruebas</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Alguien distinto del autor la ejecuta ahí y obtiene el resultado esperado.</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T7</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Demostrable desde la interfaz</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Se muestra desde la aplicación o desde la API. Si solo se puede demostrar abriendo una tabla de la base de datos, no está terminada.</w:t>
            </w:r>
          </w:p>
        </w:tc>
      </w:tr>
      <w:tr>
        <w:tc>
          <w:tcPr>
            <w:tcW w:type="dxa" w:w="7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T8</w:t>
            </w:r>
          </w:p>
        </w:tc>
        <w:tc>
          <w:tcPr>
            <w:tcW w:type="dxa" w:w="25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Sin defectos críticos ni bloqueantes</w:t>
            </w:r>
          </w:p>
        </w:tc>
        <w:tc>
          <w:tcPr>
            <w:tcW w:type="dxa" w:w="5400"/>
            <w:shd w:fill="FFFFFF"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Revisión del tablero de incidencias antes de la Sprint Review.</w:t>
            </w:r>
          </w:p>
        </w:tc>
      </w:tr>
      <w:tr>
        <w:tc>
          <w:tcPr>
            <w:tcW w:type="dxa" w:w="7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T9</w:t>
            </w:r>
          </w:p>
        </w:tc>
        <w:tc>
          <w:tcPr>
            <w:tcW w:type="dxa" w:w="25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Documentación mínima actualizada</w:t>
            </w:r>
          </w:p>
        </w:tc>
        <w:tc>
          <w:tcPr>
            <w:tcW w:type="dxa" w:w="5400"/>
            <w:shd w:fill="FCE4D6" w:color="auto" w:val="clear"/>
            <w:tcMar>
              <w:top w:type="dxa" w:w="70"/>
              <w:left w:type="dxa" w:w="110"/>
              <w:bottom w:type="dxa" w:w="70"/>
              <w:right w:type="dxa" w:w="110"/>
            </w:tcMar>
          </w:tcPr>
          <w:p>
            <w:pPr>
              <w:spacing w:after="0" w:line="252"/>
              <w:jc w:val="left"/>
            </w:pPr>
            <w:r>
              <w:rPr>
                <w:rFonts w:ascii="Calibri" w:cs="Calibri" w:eastAsia="Calibri" w:hAnsi="Calibri"/>
                <w:sz w:val="19"/>
                <w:szCs w:val="19"/>
              </w:rPr>
              <w:t xml:space="preserve">El endpoint queda descrito, y toda regla de dominio que la historia haya precisado queda escrita en el archivo de contexto del repositorio.</w:t>
            </w:r>
          </w:p>
        </w:tc>
      </w:tr>
    </w:tbl>
    <w:p>
      <w:pPr>
        <w:spacing w:after="110" w:before="200"/>
      </w:pPr>
      <w:r>
        <w:rPr>
          <w:rFonts w:ascii="Calibri" w:cs="Calibri" w:eastAsia="Calibri" w:hAnsi="Calibri"/>
          <w:b/>
          <w:bCs/>
          <w:color w:val="1F3864"/>
          <w:sz w:val="22"/>
          <w:szCs w:val="22"/>
        </w:rPr>
        <w:t xml:space="preserve">Del incremento, al cerrar el sprint</w:t>
      </w:r>
    </w:p>
    <w:p>
      <w:pPr>
        <w:spacing w:after="100" w:line="276"/>
        <w:ind w:left="0"/>
        <w:jc w:val="both"/>
      </w:pPr>
      <w:r>
        <w:rPr>
          <w:rFonts w:ascii="Calibri" w:cs="Calibri" w:eastAsia="Calibri" w:hAnsi="Calibri"/>
          <w:sz w:val="20"/>
          <w:szCs w:val="20"/>
        </w:rPr>
        <w:t xml:space="preserve">Además de que cada historia esté cerrada: el Sprint Goal se demuestra de extremo a extremo en una sola secuencia; la Sprint Review se realiza con el cliente y queda su acta; la Retrospectiva produce al menos una acción de mejora con responsable; y las historias candidatas al siguiente sprint ya cumplen la Tarjeta 2.</w:t>
      </w:r>
    </w:p>
    <w:p>
      <w:pPr>
        <w:spacing w:after="110" w:before="200"/>
      </w:pPr>
      <w:r>
        <w:rPr>
          <w:rFonts w:ascii="Calibri" w:cs="Calibri" w:eastAsia="Calibri" w:hAnsi="Calibri"/>
          <w:b/>
          <w:bCs/>
          <w:color w:val="1F3864"/>
          <w:sz w:val="22"/>
          <w:szCs w:val="22"/>
        </w:rPr>
        <w:t xml:space="preserve">Lo que NO exige</w:t>
      </w:r>
    </w:p>
    <w:p>
      <w:pPr>
        <w:spacing w:after="100" w:line="276"/>
        <w:ind w:left="0"/>
        <w:jc w:val="both"/>
      </w:pPr>
      <w:r>
        <w:rPr>
          <w:rFonts w:ascii="Calibri" w:cs="Calibri" w:eastAsia="Calibri" w:hAnsi="Calibri"/>
          <w:sz w:val="20"/>
          <w:szCs w:val="20"/>
        </w:rPr>
        <w:t xml:space="preserve">El despliegue en producción, comprometido para el Sprint 2. Un porcentaje de cobertura de pruebas, por tratarse de cuatro personas con dedicación parcial. Las pruebas de rendimiento, que se verifican al cierre del proyecto según el criterio CP4 del Project Charter. Y los manuales de usuario, que son entregable del cierre.</w:t>
      </w:r>
    </w:p>
    <w:p>
      <w:pPr>
        <w:spacing w:before="300"/>
      </w:pPr>
      <w:r>
        <w:rPr>
          <w:rFonts w:ascii="Calibri" w:cs="Calibri" w:eastAsia="Calibri" w:hAnsi="Calibri"/>
          <w:i/>
          <w:iCs/>
          <w:color w:val="6B7987"/>
          <w:sz w:val="18"/>
          <w:szCs w:val="18"/>
        </w:rPr>
        <w:t xml:space="preserve">SIGRO · Sprint 1 (15/10/2026 – 28/10/2026) · Acordado por el Scrum Team en el Sprint Planning. Versión 2.0.</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2026-10-15T21:07:12.285Z</dcterms:created>
  <dcterms:modified xsi:type="dcterms:W3CDTF">2026-10-15T21:07:12.287Z</dcterms:modified>
</cp:coreProperties>
</file>

<file path=docProps/custom.xml><?xml version="1.0" encoding="utf-8"?>
<Properties xmlns="http://schemas.openxmlformats.org/officeDocument/2006/custom-properties" xmlns:vt="http://schemas.openxmlformats.org/officeDocument/2006/docPropsVTypes"/>
</file>