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MANUAL TÉCNICO VERI*FACTU</w:t>
      </w:r>
    </w:p>
    <w:p>
      <w:pPr>
        <w:jc w:val="center"/>
      </w:pPr>
      <w:r>
        <w:rPr>
          <w:b/>
          <w:sz w:val="24"/>
        </w:rPr>
        <w:t>FacturLinEx 4.2.6J · Identificador SIF FL</w:t>
      </w:r>
    </w:p>
    <w:p>
      <w:pPr>
        <w:jc w:val="center"/>
      </w:pPr>
      <w:r>
        <w:t>Versión final · 11 de agosto de 2026</w:t>
      </w:r>
    </w:p>
    <w:p>
      <w:pPr>
        <w:spacing w:before="180" w:after="60"/>
      </w:pPr>
      <w:r>
        <w:rPr>
          <w:b/>
          <w:sz w:val="24"/>
        </w:rPr>
        <w:t>1. Objeto y alcance</w:t>
      </w:r>
    </w:p>
    <w:p>
      <w:pPr>
        <w:spacing w:after="100"/>
        <w:jc w:val="both"/>
      </w:pPr>
      <w:r>
        <w:t>Este manual técnico documenta la versión declarada FacturLinEx 4.2.6J, identificador de sistema FL, y en particular su subsistema SIF/VERI*FACTU. Su finalidad es dejar constancia del funcionamiento técnico validado, de los controles de integridad y trazabilidad disponibles y de los criterios que deben preservarse en la versión declarada.</w:t>
      </w:r>
    </w:p>
    <w:p>
      <w:pPr>
        <w:spacing w:before="180" w:after="60"/>
      </w:pPr>
      <w:r>
        <w:rPr>
          <w:b/>
          <w:sz w:val="24"/>
        </w:rPr>
        <w:t>2. Identificación de la versión</w:t>
      </w:r>
    </w:p>
    <w:p>
      <w:pPr>
        <w:spacing w:after="100"/>
        <w:jc w:val="both"/>
      </w:pPr>
      <w:r>
        <w:t>Producto: FacturLinEx. Identificador SIF: FL. Versión declarada: 4.2.6J. Plataforma principal: GNU/Linux. Desarrollo: Lazarus/FPC. Persistencia principal: MariaDB. Modalidad fiscal productiva: VERI*FACTU. Multiobligado tributario: NO; la versión declarada se limita a un único obligado tributario por instalación/configuración SIF.</w:t>
      </w:r>
    </w:p>
    <w:p>
      <w:pPr>
        <w:spacing w:before="180" w:after="60"/>
      </w:pPr>
      <w:r>
        <w:rPr>
          <w:b/>
          <w:sz w:val="24"/>
        </w:rPr>
        <w:t>3. Arquitectura funcional</w:t>
      </w:r>
    </w:p>
    <w:p>
      <w:pPr>
        <w:spacing w:after="100"/>
        <w:jc w:val="both"/>
      </w:pPr>
      <w:r>
        <w:t>FacturLinEx integra ventas, facturación, clientes, artículos, proveedores, compras y pedidos, almacén, existencias, tarifas, créditos, cajas y arqueos, IVA e informes de gestión. El subsistema VERI*FACTU forma parte del flujo de emisión de documentos y mantiene una cola técnica persistente con la información necesaria para generación, remisión, diagnóstico, reintento y subsanación.</w:t>
      </w:r>
    </w:p>
    <w:p>
      <w:pPr>
        <w:spacing w:before="180" w:after="60"/>
      </w:pPr>
      <w:r>
        <w:rPr>
          <w:b/>
          <w:sz w:val="24"/>
        </w:rPr>
        <w:t>4. Tipos de factura y registros</w:t>
      </w:r>
    </w:p>
    <w:p>
      <w:pPr>
        <w:spacing w:after="100"/>
        <w:jc w:val="both"/>
      </w:pPr>
      <w:r>
        <w:t>La versión 4.2.6J gestiona los registros correspondientes a factura completa y factura simplificada (F1/F2), así como los tipos rectificativos implementados, incluido R5. Se conservan serie, número, fecha, importes y los datos fiscales y técnicos necesarios para construir y seguir cada registro.</w:t>
      </w:r>
    </w:p>
    <w:p>
      <w:pPr>
        <w:spacing w:before="180" w:after="60"/>
      </w:pPr>
      <w:r>
        <w:rPr>
          <w:b/>
          <w:sz w:val="24"/>
        </w:rPr>
        <w:t>5. Huella SHA-256 y cadena global</w:t>
      </w:r>
    </w:p>
    <w:p>
      <w:pPr>
        <w:spacing w:after="100"/>
        <w:jc w:val="both"/>
      </w:pPr>
      <w:r>
        <w:t>La integridad se basa en huella SHA-256. Cada registro conserva su hash y la referencia hash_prev al registro anterior. La cadena validada en FacturLinEx es GLOBAL por orden real de generación de la cola: no se reinicia al cambiar de serie ni al alternar F1, F2 y rectificativas. Por tanto, una secuencia F2 -&gt; F1 -&gt; F2 -&gt; F1 -&gt; R5 es válida cuando cada hash_prev coincide con el hash del registro global inmediatamente anterior.</w:t>
      </w:r>
    </w:p>
    <w:p>
      <w:pPr>
        <w:spacing w:before="180" w:after="60"/>
      </w:pPr>
      <w:r>
        <w:rPr>
          <w:b/>
          <w:sz w:val="24"/>
        </w:rPr>
        <w:t>6. Datos técnicos de auditoría</w:t>
      </w:r>
    </w:p>
    <w:p>
      <w:pPr>
        <w:spacing w:after="100"/>
        <w:jc w:val="both"/>
      </w:pPr>
      <w:r>
        <w:t>La cola conserva los elementos necesarios para diagnóstico y auditoría, entre ellos hash, hash_prev, hash_input, canonical y fecha_isoz, además de estado, intentos y resultado de las comunicaciones. Estos datos permiten comprobar la construcción de la huella y el encadenamiento sin modificar el registro histórico.</w:t>
      </w:r>
    </w:p>
    <w:p>
      <w:pPr>
        <w:spacing w:before="180" w:after="60"/>
      </w:pPr>
      <w:r>
        <w:rPr>
          <w:b/>
          <w:sz w:val="24"/>
        </w:rPr>
        <w:t>7. Centro de Control VERI*FACTU</w:t>
      </w:r>
    </w:p>
    <w:p>
      <w:pPr>
        <w:spacing w:after="100"/>
        <w:jc w:val="both"/>
      </w:pPr>
      <w:r>
        <w:t>FacturLinEx dispone de un Centro de Control técnico para revisar la cola, estados, resultados, intentos, tipos, entornos, identificadores y datos de integridad. La pestaña de Integridad HASH realiza una comprobación visible y de solo lectura. La auditoría y el control HASH siguen el orden global de generación. El primer registro visible de un filtro puede quedar marcado como ANTERIOR FUERA FILTRO cuando su predecesor no forma parte del conjunto mostrado; esta situación es informativa y no constituye por sí sola una ruptura.</w:t>
      </w:r>
    </w:p>
    <w:p>
      <w:pPr>
        <w:spacing w:before="180" w:after="60"/>
      </w:pPr>
      <w:r>
        <w:rPr>
          <w:b/>
          <w:sz w:val="24"/>
        </w:rPr>
        <w:t>8. Remisión y entornos</w:t>
      </w:r>
    </w:p>
    <w:p>
      <w:pPr>
        <w:spacing w:after="100"/>
        <w:jc w:val="both"/>
      </w:pPr>
      <w:r>
        <w:t>En PRODUCCIÓN, los registros se preparan y remiten al servicio correspondiente de la AEAT y se conserva el resultado técnico de la comunicación. Los modos LOCAL/PRUEBAS se reservan para desarrollo, verificación y simulación; no constituyen una modalidad alternativa de explotación fiscal real de la versión declarada.</w:t>
      </w:r>
    </w:p>
    <w:p>
      <w:pPr>
        <w:spacing w:before="180" w:after="60"/>
      </w:pPr>
      <w:r>
        <w:rPr>
          <w:b/>
          <w:sz w:val="24"/>
        </w:rPr>
        <w:t>9. Reintentos y errores de comunicación</w:t>
      </w:r>
    </w:p>
    <w:p>
      <w:pPr>
        <w:spacing w:after="100"/>
        <w:jc w:val="both"/>
      </w:pPr>
      <w:r>
        <w:t>Los fallos de comunicación y otras incidencias técnicas pueden ser reintentados de forma controlada. Los intentos y resultados quedan registrados para conservar trazabilidad. El reintento técnico no debe utilizarse para alterar el contenido histórico del registro original.</w:t>
      </w:r>
    </w:p>
    <w:p>
      <w:pPr>
        <w:spacing w:before="180" w:after="60"/>
      </w:pPr>
      <w:r>
        <w:rPr>
          <w:b/>
          <w:sz w:val="24"/>
        </w:rPr>
        <w:t>10. Subsanaciones</w:t>
      </w:r>
    </w:p>
    <w:p>
      <w:pPr>
        <w:spacing w:after="100"/>
        <w:jc w:val="both"/>
      </w:pPr>
      <w:r>
        <w:t>El Centro de Control permite identificar incidencias y preparar subsanaciones. El registro original se conserva y la subsanación genera un nuevo registro técnico. Los datos corregibles se incorporan al nuevo registro sin reescribir el histórico. Los defectos que afecten a la huella o al encadenamiento histórico no se consideran una simple corrección ordinaria de datos.</w:t>
      </w:r>
    </w:p>
    <w:p>
      <w:pPr>
        <w:spacing w:before="180" w:after="60"/>
      </w:pPr>
      <w:r>
        <w:rPr>
          <w:b/>
          <w:sz w:val="24"/>
        </w:rPr>
        <w:t>11. Rectificativas</w:t>
      </w:r>
    </w:p>
    <w:p>
      <w:pPr>
        <w:spacing w:after="100"/>
        <w:jc w:val="both"/>
      </w:pPr>
      <w:r>
        <w:t>Las rectificativas implementadas participan en la misma cadena global de integridad. Su aparición no inicia una cadena independiente por serie. Durante la validación final se comprobó el encadenamiento correcto al alternar facturas completas, simplificadas y rectificativas.</w:t>
      </w:r>
    </w:p>
    <w:p>
      <w:pPr>
        <w:spacing w:before="180" w:after="60"/>
      </w:pPr>
      <w:r>
        <w:rPr>
          <w:b/>
          <w:sz w:val="24"/>
        </w:rPr>
        <w:t>12. Trazabilidad y conservación</w:t>
      </w:r>
    </w:p>
    <w:p>
      <w:pPr>
        <w:spacing w:after="100"/>
        <w:jc w:val="both"/>
      </w:pPr>
      <w:r>
        <w:t>La cola y los datos técnicos asociados permiten conservar información de generación, huella, encadenamiento, remisión, respuestas, reintentos y subsanaciones. Las herramientas de monitorización son de consulta y diagnóstico y deben preservar la inmutabilidad de los datos históricos que se auditan.</w:t>
      </w:r>
    </w:p>
    <w:p>
      <w:pPr>
        <w:spacing w:before="180" w:after="60"/>
      </w:pPr>
      <w:r>
        <w:rPr>
          <w:b/>
          <w:sz w:val="24"/>
        </w:rPr>
        <w:t>13. Declaración responsable y accesibilidad</w:t>
      </w:r>
    </w:p>
    <w:p>
      <w:pPr>
        <w:spacing w:after="100"/>
        <w:jc w:val="both"/>
      </w:pPr>
      <w:r>
        <w:t>La Declaración Responsable correspondiente a FacturLinEx 4.2.6J se conserva de forma individualizada en Documentacion/VeriFactu/DeclaracionResponsable y debe ser accesible desde la pantalla Acerca de / Información del sistema. Este manual se conserva en Documentacion/VeriFactu/ManualTecnico. La documentación distribuida debe corresponder exactamente con la versión instalada.</w:t>
      </w:r>
    </w:p>
    <w:p>
      <w:pPr>
        <w:spacing w:before="180" w:after="60"/>
      </w:pPr>
      <w:r>
        <w:rPr>
          <w:b/>
          <w:sz w:val="24"/>
        </w:rPr>
        <w:t>14. Instalación y configuración</w:t>
      </w:r>
    </w:p>
    <w:p>
      <w:pPr>
        <w:spacing w:after="100"/>
        <w:jc w:val="both"/>
      </w:pPr>
      <w:r>
        <w:t>El instalador copia el programa, recursos y documentación a las rutas previstas. La configuración inicial de base de datos puede diferirse a la primera ejecución de FacturLinEx, donde se solicitan los datos necesarios para la conexión y creación inicial. La gestión de certificados puede completarse durante o después de la instalación según la configuración elegida. Estas tareas de despliegue no deben modificar el comportamiento fiscal declarado de la versión.</w:t>
      </w:r>
    </w:p>
    <w:p>
      <w:pPr>
        <w:spacing w:before="180" w:after="60"/>
      </w:pPr>
      <w:r>
        <w:rPr>
          <w:b/>
          <w:sz w:val="24"/>
        </w:rPr>
        <w:t>15. Criterio de congelación de 4.2.6J</w:t>
      </w:r>
    </w:p>
    <w:p>
      <w:pPr>
        <w:spacing w:after="100"/>
        <w:jc w:val="both"/>
      </w:pPr>
      <w:r>
        <w:t>La versión 4.2.6J queda cerrada para la Declaración Responsable tras la validación funcional del circuito VERI*FACTU, las pruebas de F1/F2 y rectificativas, la comprobación del encadenamiento global y la verificación final del control visible de Integridad HASH sin incidencias reales. Debe conservarse una copia identificable del código fuente, binario y documentación asociados a esta versión.</w:t>
      </w:r>
    </w:p>
    <w:p>
      <w:pPr>
        <w:spacing w:before="180" w:after="60"/>
      </w:pPr>
      <w:r>
        <w:rPr>
          <w:b/>
          <w:sz w:val="24"/>
        </w:rPr>
        <w:t>16. Cambios posteriores</w:t>
      </w:r>
    </w:p>
    <w:p>
      <w:pPr>
        <w:spacing w:after="100"/>
        <w:jc w:val="both"/>
      </w:pPr>
      <w:r>
        <w:t>Los cambios puramente visuales o de infraestructura deben evaluarse para confirmar que no alteran las características declaradas del SIF. Cualquier modificación que afecte a generación de registros, huella, encadenamiento, remisión, subsanación, identificación SIF o demás características declaradas deberá revisarse antes de atribuirla a la versión 4.2.6J y puede exigir una nueva versión y su correspondiente declaración.</w:t>
      </w:r>
    </w:p>
    <w:p>
      <w:r>
        <w:rPr>
          <w:b/>
          <w:sz w:val="24"/>
        </w:rPr>
        <w:t>Referencias normativas</w:t>
      </w:r>
    </w:p>
    <w:p>
      <w:r>
        <w:t>• Ley 58/2003, de 17 de diciembre, General Tributaria, artículo 29.2.j).</w:t>
      </w:r>
    </w:p>
    <w:p>
      <w:r>
        <w:t>• Real Decreto 1007/2023, de 5 de diciembre.</w:t>
      </w:r>
    </w:p>
    <w:p>
      <w:r>
        <w:t>• Orden HAC/1177/2024, de 17 de octubre.</w:t>
      </w:r>
    </w:p>
    <w:p>
      <w:r>
        <w:t>• Especificaciones complementarias publicadas por la Agencia Estatal de Administración Tributaria.</w:t>
      </w:r>
    </w:p>
    <w:sectPr w:rsidR="00FC693F" w:rsidRPr="0006063C" w:rsidSect="00034616">
      <w:footerReference w:type="default" r:id="rId9"/>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FacturLinEx 4.2.6J · Manual Técnico VERI*FACTU ·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