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rFonts w:ascii="Carlito" w:hAnsi="Carlito" w:eastAsia="Carlito"/>
          <w:b/>
          <w:color w:val="1F4E78"/>
          <w:sz w:val="32"/>
        </w:rPr>
        <w:t>EDICIÓN v0.1</w:t>
      </w:r>
    </w:p>
    <w:p>
      <w:pPr>
        <w:jc w:val="center"/>
      </w:pPr>
      <w:r>
        <w:rPr>
          <w:rFonts w:ascii="Carlito" w:hAnsi="Carlito" w:eastAsia="Carlito"/>
          <w:i/>
          <w:color w:val="666666"/>
          <w:sz w:val="24"/>
        </w:rPr>
        <w:t>Base funcional inicial</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rPr>
        <w:tc>
          <w:tcPr>
            <w:tcW w:type="dxa" w:w="4929"/>
            <w:shd w:fill="DDEBF7"/>
          </w:tcPr>
          <w:p>
            <w:r>
              <w:rPr>
                <w:rFonts w:ascii="Carlito" w:hAnsi="Carlito" w:eastAsia="Carlito"/>
                <w:b/>
                <w:color w:val="17365D"/>
                <w:sz w:val="19"/>
              </w:rPr>
              <w:t>Fecha de edición</w:t>
            </w:r>
          </w:p>
        </w:tc>
        <w:tc>
          <w:tcPr>
            <w:tcW w:type="dxa" w:w="4929"/>
          </w:tcPr>
          <w:p>
            <w:r>
              <w:rPr>
                <w:rFonts w:ascii="Carlito" w:hAnsi="Carlito" w:eastAsia="Carlito"/>
                <w:sz w:val="19"/>
              </w:rPr>
              <w:t>24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rPr>
          <w:rFonts w:ascii="Carlito" w:hAnsi="Carlito" w:eastAsia="Carlito"/>
          <w:i w:val="0"/>
          <w:sz w:val="21"/>
        </w:rPr>
        <w:t>Este manual reúne el funcionamiento conocido y validado de FacturLinEx, junto con procedimientos provisionales que todavía pueden evolucionar. Su objetivo es facilitar el aprendizaje, la consulta diaria y la administración segura del sistema.</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rPr>
          <w:rFonts w:ascii="Carlito" w:hAnsi="Carlito" w:eastAsia="Carlito"/>
          <w:sz w:val="20"/>
        </w:rPr>
        <w:t>Las capturas se incorporarán cuando las pantallas correspondientes queden definitivamente validadas.</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F2F2F2"/>
            <w:vAlign w:val="center"/>
            <w:tcBorders>
              <w:top w:val="single" w:sz="4" w:color="666666"/>
              <w:left w:val="single" w:sz="4" w:color="666666"/>
              <w:bottom w:val="single" w:sz="4" w:color="666666"/>
              <w:right w:val="single" w:sz="4" w:color="666666"/>
            </w:tcBorders>
          </w:tcPr>
          <w:p>
            <w:pPr>
              <w:spacing w:after="0"/>
            </w:pPr>
            <w:r>
              <w:rPr>
                <w:rFonts w:ascii="Carlito" w:hAnsi="Carlito" w:eastAsia="Carlito"/>
                <w:b/>
                <w:color w:val="666666"/>
                <w:sz w:val="19"/>
              </w:rPr>
              <w:t xml:space="preserve">ESTADO: </w:t>
            </w:r>
            <w:r>
              <w:rPr>
                <w:rFonts w:ascii="Carlito" w:hAnsi="Carlito" w:eastAsia="Carlito"/>
                <w:color w:val="000000"/>
                <w:sz w:val="19"/>
              </w:rPr>
              <w:t>Capítulo base. Debe completarse con capturas del menú principal y de la pantalla de identificación.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keepLines w:val="0"/>
        <w:spacing w:after="100" w:line="259" w:lineRule="auto"/>
        <w:ind w:left="0"/>
      </w:pPr>
      <w:r>
        <w:rPr>
          <w:rFonts w:ascii="Carlito" w:hAnsi="Carlito" w:eastAsia="Carlito"/>
          <w:i w:val="0"/>
          <w:sz w:val="21"/>
        </w:rPr>
        <w:t>El menú principal organiza las funciones por pestañas y botones. La versión actual permite personalizar el acceso a módulos y mantiene submenús específicos, como Copias de seguridad en Utilidades y Otros archivos en Archivos.</w:t>
      </w:r>
    </w:p>
    <w:p>
      <w:pPr>
        <w:pStyle w:val="ListBullet"/>
        <w:spacing w:after="40" w:line="240" w:lineRule="auto"/>
      </w:pPr>
      <w:r>
        <w:rPr>
          <w:rFonts w:ascii="Carlito" w:hAnsi="Carlito" w:eastAsia="Carlito"/>
          <w:sz w:val="20"/>
        </w:rPr>
        <w:t>La pestaña activa debe quedar claramente diferenciada.</w:t>
      </w:r>
    </w:p>
    <w:p>
      <w:pPr>
        <w:pStyle w:val="ListBullet"/>
        <w:spacing w:after="40" w:line="240" w:lineRule="auto"/>
      </w:pPr>
      <w:r>
        <w:rPr>
          <w:rFonts w:ascii="Carlito" w:hAnsi="Carlito" w:eastAsia="Carlito"/>
          <w:sz w:val="20"/>
        </w:rPr>
        <w:t>Los módulos se abren desde sus botones correspondientes.</w:t>
      </w:r>
    </w:p>
    <w:p>
      <w:pPr>
        <w:pStyle w:val="ListBullet"/>
        <w:spacing w:after="40" w:line="240" w:lineRule="auto"/>
      </w:pPr>
      <w:r>
        <w:rPr>
          <w:rFonts w:ascii="Carlito" w:hAnsi="Carlito" w:eastAsia="Carlito"/>
          <w:sz w:val="20"/>
        </w:rPr>
        <w:t>Cuando se está en la página principal de un módulo, la tecla ESC debe ejecutar la misma acción que el botón Cerrar.</w:t>
      </w:r>
    </w:p>
    <w:p>
      <w:pPr>
        <w:pStyle w:val="ListBullet"/>
        <w:spacing w:after="40" w:line="240" w:lineRule="auto"/>
      </w:pPr>
      <w:r>
        <w:rPr>
          <w:rFonts w:ascii="Carlito" w:hAnsi="Carlito" w:eastAsia="Carlito"/>
          <w:sz w:val="20"/>
        </w:rPr>
        <w:t>Si existe un panel auxiliar, diálogo, editor modal o cambios pendientes, ESC debe cerrar o cancelar primero ese elemento, no abandonar el formulario de forma insegura.</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Menú principal con pestañas, botones y pestaña activa</w:t>
            </w:r>
          </w:p>
        </w:tc>
      </w:tr>
    </w:tbl>
    <w:p>
      <w:pPr>
        <w:spacing w:after="40"/>
      </w:pP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bookmarkStart w:id="4" w:name="cap2"/>
      <w:pPr>
        <w:pStyle w:val="Heading1"/>
        <w:keepNext/>
      </w:pPr>
      <w:r>
        <w:t>2. Configuración inicial</w:t>
      </w:r>
      <w:bookmarkEnd w:id="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Estructura funcional basada en la configuración modernizada v9. Las rutas y valores concretos deben adaptarse a cada instalación.</w:t>
            </w:r>
          </w:p>
        </w:tc>
      </w:tr>
    </w:tbl>
    <w:p>
      <w:pPr>
        <w:spacing w:after="20"/>
      </w:pPr>
    </w:p>
    <w:p>
      <w:pPr>
        <w:pStyle w:val="Heading2"/>
        <w:keepNext/>
      </w:pPr>
      <w:r>
        <w:t>2.1 Orden recomendado de configuración</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la conexión con la base de datos principal.</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Configurar empresa, tienda y puesto.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series, numeraciones y tipos de documento.</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Configurar impresoras, plantillas y generación de PDF.</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Configurar el correo electrónico y realizar una prueba de envío.</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Revisar IVA, entorno de producción y opciones de VeriFactu.</w:t>
      </w:r>
    </w:p>
    <w:p>
      <w:pPr>
        <w:pStyle w:val="BodyText"/>
        <w:spacing w:after="40" w:line="240" w:lineRule="auto"/>
        <w:ind w:left="312" w:hanging="312"/>
      </w:pPr>
      <w:r>
        <w:rPr>
          <w:rFonts w:ascii="Carlito" w:hAnsi="Carlito" w:eastAsia="Carlito"/>
          <w:b/>
          <w:color w:val="17365D"/>
          <w:sz w:val="20"/>
        </w:rPr>
        <w:t xml:space="preserve">7.  </w:t>
      </w:r>
      <w:r>
        <w:rPr>
          <w:rFonts w:ascii="Carlito" w:hAnsi="Carlito" w:eastAsia="Carlito"/>
          <w:sz w:val="20"/>
        </w:rPr>
        <w:t>Configurar rutas de informes, recursos, iconos y copias de seguridad.</w:t>
      </w:r>
    </w:p>
    <w:p>
      <w:pPr>
        <w:pStyle w:val="BodyText"/>
        <w:spacing w:after="40" w:line="240" w:lineRule="auto"/>
        <w:ind w:left="312" w:hanging="312"/>
      </w:pPr>
      <w:r>
        <w:rPr>
          <w:rFonts w:ascii="Carlito" w:hAnsi="Carlito" w:eastAsia="Carlito"/>
          <w:b/>
          <w:color w:val="17365D"/>
          <w:sz w:val="20"/>
        </w:rPr>
        <w:t xml:space="preserve">8.  </w:t>
      </w:r>
      <w:r>
        <w:rPr>
          <w:rFonts w:ascii="Carlito" w:hAnsi="Carlito" w:eastAsia="Carlito"/>
          <w:sz w:val="20"/>
        </w:rPr>
        <w:t>Crear o revisar usuarios, permisos y formas de pago.</w:t>
      </w:r>
    </w:p>
    <w:p>
      <w:pPr>
        <w:pStyle w:val="BodyText"/>
        <w:spacing w:after="40" w:line="240" w:lineRule="auto"/>
        <w:ind w:left="312" w:hanging="312"/>
      </w:pPr>
      <w:r>
        <w:rPr>
          <w:rFonts w:ascii="Carlito" w:hAnsi="Carlito" w:eastAsia="Carlito"/>
          <w:b/>
          <w:color w:val="17365D"/>
          <w:sz w:val="20"/>
        </w:rPr>
        <w:t xml:space="preserve">9.  </w:t>
      </w:r>
      <w:r>
        <w:rPr>
          <w:rFonts w:ascii="Carlito" w:hAnsi="Carlito" w:eastAsia="Carlito"/>
          <w:sz w:val="20"/>
        </w:rPr>
        <w:t>Realizar una copia de seguridad y una venta completa de prueba.</w:t>
      </w:r>
    </w:p>
    <w:p>
      <w:pPr>
        <w:pStyle w:val="Heading2"/>
        <w:keepNext/>
      </w:pPr>
      <w:r>
        <w:t>2.2 Conexión con MariaDB</w:t>
      </w:r>
    </w:p>
    <w:p>
      <w:pPr>
        <w:pStyle w:val="BodyText"/>
        <w:keepLines w:val="0"/>
        <w:spacing w:after="100" w:line="259" w:lineRule="auto"/>
        <w:ind w:left="0"/>
      </w:pPr>
      <w:r>
        <w:rPr>
          <w:rFonts w:ascii="Carlito" w:hAnsi="Carlito" w:eastAsia="Carlito"/>
          <w:i w:val="0"/>
          <w:sz w:val="21"/>
        </w:rPr>
        <w:t>La configuración de conexión debe identificar correctamente el servidor, puerto, base de datos, usuario, contraseña y juego de caracteres. La pantalla de Configuración dispone de botones de prueba para la base principal y para el sistema de información común.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servidor responde desde el equipo donde se ejecuta FacturLinEx.</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base de datos indicada existe.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usuario dispone de los permisos necesarios.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juego de caracteres es compatible con los datos existentes.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prueba de conexión finaliza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cambiar charset, collation o motor de tablas en producción sin copia previa y sin comprobar las tablas afectadas. Las mezclas de collations pueden provocar errores en consultas JOIN.</w:t>
            </w:r>
          </w:p>
        </w:tc>
      </w:tr>
    </w:tbl>
    <w:p>
      <w:pPr>
        <w:spacing w:after="20"/>
      </w:pPr>
    </w:p>
    <w:p>
      <w:pPr>
        <w:pStyle w:val="Heading2"/>
        <w:keepNext/>
      </w:pPr>
      <w:r>
        <w:t>2.3 Empresa, tienda y puesto</w:t>
      </w:r>
    </w:p>
    <w:p>
      <w:pPr>
        <w:pStyle w:val="BodyText"/>
        <w:keepLines w:val="0"/>
        <w:spacing w:after="100" w:line="259" w:lineRule="auto"/>
        <w:ind w:left="0"/>
      </w:pPr>
      <w:r>
        <w:rPr>
          <w:rFonts w:ascii="Carlito" w:hAnsi="Carlito" w:eastAsia="Carlito"/>
          <w:i w:val="0"/>
          <w:sz w:val="21"/>
        </w:rPr>
        <w:t>Los datos de empresa se utilizan en documentos, informes y comunicaciones. La tienda determina el conjunto de tablas y configuraciones sobre el que se trabaja. El puesto identifica la terminal de venta y puede aparecer en registros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Elemento</w:t>
            </w:r>
          </w:p>
        </w:tc>
        <w:tc>
          <w:tcPr>
            <w:tcW w:type="dxa" w:w="7313"/>
            <w:shd w:fill="1F4E78"/>
            <w:vAlign w:val="center"/>
          </w:tcPr>
          <w:p>
            <w:r>
              <w:rPr>
                <w:rFonts w:ascii="Carlito" w:hAnsi="Carlito" w:eastAsia="Carlito"/>
                <w:b/>
                <w:color w:val="FFFFFF"/>
                <w:sz w:val="18"/>
              </w:rPr>
              <w:t>Comprobaciones</w:t>
            </w:r>
          </w:p>
        </w:tc>
      </w:tr>
      <w:tr>
        <w:trPr>
          <w:cantSplit/>
        </w:trPr>
        <w:tc>
          <w:tcPr>
            <w:tcW w:type="dxa" w:w="2041"/>
            <w:vAlign w:val="center"/>
          </w:tcPr>
          <w:p>
            <w:r>
              <w:rPr>
                <w:rFonts w:ascii="Carlito" w:hAnsi="Carlito" w:eastAsia="Carlito"/>
                <w:sz w:val="18"/>
              </w:rPr>
              <w:t>Empresa</w:t>
            </w:r>
          </w:p>
        </w:tc>
        <w:tc>
          <w:tcPr>
            <w:tcW w:type="dxa" w:w="7313"/>
            <w:vAlign w:val="center"/>
          </w:tcPr>
          <w:p>
            <w:r>
              <w:rPr>
                <w:rFonts w:ascii="Carlito" w:hAnsi="Carlito" w:eastAsia="Carlito"/>
                <w:sz w:val="18"/>
              </w:rPr>
              <w:t>Razón social, NIF, dirección, datos de contacto y datos fiscales.</w:t>
            </w:r>
          </w:p>
        </w:tc>
      </w:tr>
      <w:tr>
        <w:trPr>
          <w:cantSplit/>
        </w:trPr>
        <w:tc>
          <w:tcPr>
            <w:tcW w:type="dxa" w:w="2041"/>
            <w:shd w:fill="F2F2F2"/>
            <w:vAlign w:val="center"/>
          </w:tcPr>
          <w:p>
            <w:r>
              <w:rPr>
                <w:rFonts w:ascii="Carlito" w:hAnsi="Carlito" w:eastAsia="Carlito"/>
                <w:sz w:val="18"/>
              </w:rPr>
              <w:t>Tienda</w:t>
            </w:r>
          </w:p>
        </w:tc>
        <w:tc>
          <w:tcPr>
            <w:tcW w:type="dxa" w:w="7313"/>
            <w:shd w:fill="F2F2F2"/>
            <w:vAlign w:val="center"/>
          </w:tcPr>
          <w:p>
            <w:r>
              <w:rPr>
                <w:rFonts w:ascii="Carlito" w:hAnsi="Carlito" w:eastAsia="Carlito"/>
                <w:sz w:val="18"/>
              </w:rPr>
              <w:t>Código, descripción, rutas y correspondencia con las tablas de la instalación.</w:t>
            </w:r>
          </w:p>
        </w:tc>
      </w:tr>
      <w:tr>
        <w:trPr>
          <w:cantSplit/>
        </w:trPr>
        <w:tc>
          <w:tcPr>
            <w:tcW w:type="dxa" w:w="2041"/>
            <w:vAlign w:val="center"/>
          </w:tcPr>
          <w:p>
            <w:r>
              <w:rPr>
                <w:rFonts w:ascii="Carlito" w:hAnsi="Carlito" w:eastAsia="Carlito"/>
                <w:sz w:val="18"/>
              </w:rPr>
              <w:t>Puesto</w:t>
            </w:r>
          </w:p>
        </w:tc>
        <w:tc>
          <w:tcPr>
            <w:tcW w:type="dxa" w:w="7313"/>
            <w:vAlign w:val="center"/>
          </w:tcPr>
          <w:p>
            <w:r>
              <w:rPr>
                <w:rFonts w:ascii="Carlito" w:hAnsi="Carlito" w:eastAsia="Carlito"/>
                <w:sz w:val="18"/>
              </w:rPr>
              <w:t>Letra o identificador visible en Ventas y coherente con el registro histórico.</w:t>
            </w:r>
          </w:p>
        </w:tc>
      </w:tr>
      <w:tr>
        <w:trPr>
          <w:cantSplit/>
        </w:trPr>
        <w:tc>
          <w:tcPr>
            <w:tcW w:type="dxa" w:w="2041"/>
            <w:shd w:fill="F2F2F2"/>
            <w:vAlign w:val="center"/>
          </w:tcPr>
          <w:p>
            <w:r>
              <w:rPr>
                <w:rFonts w:ascii="Carlito" w:hAnsi="Carlito" w:eastAsia="Carlito"/>
                <w:sz w:val="18"/>
              </w:rPr>
              <w:t>Usuario</w:t>
            </w:r>
          </w:p>
        </w:tc>
        <w:tc>
          <w:tcPr>
            <w:tcW w:type="dxa" w:w="7313"/>
            <w:shd w:fill="F2F2F2"/>
            <w:vAlign w:val="center"/>
          </w:tcPr>
          <w:p>
            <w:r>
              <w:rPr>
                <w:rFonts w:ascii="Carlito" w:hAnsi="Carlito" w:eastAsia="Carlito"/>
                <w:sz w:val="18"/>
              </w:rPr>
              <w:t>Nombre, credenciales, permisos y asociación correcta a las operaciones.</w:t>
            </w:r>
          </w:p>
        </w:tc>
      </w:tr>
    </w:tbl>
    <w:p>
      <w:pPr>
        <w:spacing w:after="40"/>
      </w:pPr>
    </w:p>
    <w:p>
      <w:pPr>
        <w:pStyle w:val="Heading2"/>
        <w:keepNext/>
      </w:pPr>
      <w:r>
        <w:t>2.4 Series y numeraciones</w:t>
      </w:r>
    </w:p>
    <w:p>
      <w:pPr>
        <w:pStyle w:val="BodyText"/>
        <w:keepLines w:val="0"/>
        <w:spacing w:after="100" w:line="259" w:lineRule="auto"/>
        <w:ind w:left="0"/>
      </w:pPr>
      <w:r>
        <w:rPr>
          <w:rFonts w:ascii="Carlito" w:hAnsi="Carlito" w:eastAsia="Carlito"/>
          <w:i w:val="0"/>
          <w:sz w:val="21"/>
        </w:rPr>
        <w:t>Cada tipo de documento utiliza series y contadores. Las series permiten separar tiendas, ejercicios, documentos simplificados, rectificativas y otros circuitos.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Tipo</w:t>
            </w:r>
          </w:p>
        </w:tc>
        <w:tc>
          <w:tcPr>
            <w:tcW w:type="dxa" w:w="2268"/>
            <w:shd w:fill="1F4E78"/>
            <w:vAlign w:val="center"/>
          </w:tcPr>
          <w:p>
            <w:r>
              <w:rPr>
                <w:rFonts w:ascii="Carlito" w:hAnsi="Carlito" w:eastAsia="Carlito"/>
                <w:b/>
                <w:color w:val="FFFFFF"/>
                <w:sz w:val="18"/>
              </w:rPr>
              <w:t>Ejemplos habituales</w:t>
            </w:r>
          </w:p>
        </w:tc>
        <w:tc>
          <w:tcPr>
            <w:tcW w:type="dxa" w:w="4706"/>
            <w:shd w:fill="1F4E78"/>
            <w:vAlign w:val="center"/>
          </w:tcPr>
          <w:p>
            <w:r>
              <w:rPr>
                <w:rFonts w:ascii="Carlito" w:hAnsi="Carlito" w:eastAsia="Carlito"/>
                <w:b/>
                <w:color w:val="FFFFFF"/>
                <w:sz w:val="18"/>
              </w:rPr>
              <w:t>Uso</w:t>
            </w:r>
          </w:p>
        </w:tc>
      </w:tr>
      <w:tr>
        <w:trPr>
          <w:cantSplit/>
        </w:trPr>
        <w:tc>
          <w:tcPr>
            <w:tcW w:type="dxa" w:w="2381"/>
            <w:vAlign w:val="center"/>
          </w:tcPr>
          <w:p>
            <w:r>
              <w:rPr>
                <w:rFonts w:ascii="Carlito" w:hAnsi="Carlito" w:eastAsia="Carlito"/>
                <w:sz w:val="18"/>
              </w:rPr>
              <w:t>Normal</w:t>
            </w:r>
          </w:p>
        </w:tc>
        <w:tc>
          <w:tcPr>
            <w:tcW w:type="dxa" w:w="2268"/>
            <w:vAlign w:val="center"/>
          </w:tcPr>
          <w:p>
            <w:r>
              <w:rPr>
                <w:rFonts w:ascii="Carlito" w:hAnsi="Carlito" w:eastAsia="Carlito"/>
                <w:sz w:val="18"/>
              </w:rPr>
              <w:t>A26, B26...</w:t>
            </w:r>
          </w:p>
        </w:tc>
        <w:tc>
          <w:tcPr>
            <w:tcW w:type="dxa" w:w="4706"/>
            <w:vAlign w:val="center"/>
          </w:tcPr>
          <w:p>
            <w:r>
              <w:rPr>
                <w:rFonts w:ascii="Carlito" w:hAnsi="Carlito" w:eastAsia="Carlito"/>
                <w:sz w:val="18"/>
              </w:rPr>
              <w:t>Facturas o documentos completos.</w:t>
            </w:r>
          </w:p>
        </w:tc>
      </w:tr>
      <w:tr>
        <w:trPr>
          <w:cantSplit/>
        </w:trPr>
        <w:tc>
          <w:tcPr>
            <w:tcW w:type="dxa" w:w="2381"/>
            <w:shd w:fill="F2F2F2"/>
            <w:vAlign w:val="center"/>
          </w:tcPr>
          <w:p>
            <w:r>
              <w:rPr>
                <w:rFonts w:ascii="Carlito" w:hAnsi="Carlito" w:eastAsia="Carlito"/>
                <w:sz w:val="18"/>
              </w:rPr>
              <w:t>Simplificada</w:t>
            </w:r>
          </w:p>
        </w:tc>
        <w:tc>
          <w:tcPr>
            <w:tcW w:type="dxa" w:w="2268"/>
            <w:shd w:fill="F2F2F2"/>
            <w:vAlign w:val="center"/>
          </w:tcPr>
          <w:p>
            <w:r>
              <w:rPr>
                <w:rFonts w:ascii="Carlito" w:hAnsi="Carlito" w:eastAsia="Carlito"/>
                <w:sz w:val="18"/>
              </w:rPr>
              <w:t>FS-A26</w:t>
            </w:r>
          </w:p>
        </w:tc>
        <w:tc>
          <w:tcPr>
            <w:tcW w:type="dxa" w:w="4706"/>
            <w:shd w:fill="F2F2F2"/>
            <w:vAlign w:val="center"/>
          </w:tcPr>
          <w:p>
            <w:r>
              <w:rPr>
                <w:rFonts w:ascii="Carlito" w:hAnsi="Carlito" w:eastAsia="Carlito"/>
                <w:sz w:val="18"/>
              </w:rPr>
              <w:t>Facturas simplificadas o tickets fiscales.</w:t>
            </w:r>
          </w:p>
        </w:tc>
      </w:tr>
      <w:tr>
        <w:trPr>
          <w:cantSplit/>
        </w:trPr>
        <w:tc>
          <w:tcPr>
            <w:tcW w:type="dxa" w:w="2381"/>
            <w:vAlign w:val="center"/>
          </w:tcPr>
          <w:p>
            <w:r>
              <w:rPr>
                <w:rFonts w:ascii="Carlito" w:hAnsi="Carlito" w:eastAsia="Carlito"/>
                <w:sz w:val="18"/>
              </w:rPr>
              <w:t>Rectificativa normal</w:t>
            </w:r>
          </w:p>
        </w:tc>
        <w:tc>
          <w:tcPr>
            <w:tcW w:type="dxa" w:w="2268"/>
            <w:vAlign w:val="center"/>
          </w:tcPr>
          <w:p>
            <w:r>
              <w:rPr>
                <w:rFonts w:ascii="Carlito" w:hAnsi="Carlito" w:eastAsia="Carlito"/>
                <w:sz w:val="18"/>
              </w:rPr>
              <w:t>R26</w:t>
            </w:r>
          </w:p>
        </w:tc>
        <w:tc>
          <w:tcPr>
            <w:tcW w:type="dxa" w:w="4706"/>
            <w:vAlign w:val="center"/>
          </w:tcPr>
          <w:p>
            <w:r>
              <w:rPr>
                <w:rFonts w:ascii="Carlito" w:hAnsi="Carlito" w:eastAsia="Carlito"/>
                <w:sz w:val="18"/>
              </w:rPr>
              <w:t>Corrección de factura normal.</w:t>
            </w:r>
          </w:p>
        </w:tc>
      </w:tr>
      <w:tr>
        <w:trPr>
          <w:cantSplit/>
        </w:trPr>
        <w:tc>
          <w:tcPr>
            <w:tcW w:type="dxa" w:w="2381"/>
            <w:shd w:fill="F2F2F2"/>
            <w:vAlign w:val="center"/>
          </w:tcPr>
          <w:p>
            <w:r>
              <w:rPr>
                <w:rFonts w:ascii="Carlito" w:hAnsi="Carlito" w:eastAsia="Carlito"/>
                <w:sz w:val="18"/>
              </w:rPr>
              <w:t>Rectificativa simplificada</w:t>
            </w:r>
          </w:p>
        </w:tc>
        <w:tc>
          <w:tcPr>
            <w:tcW w:type="dxa" w:w="2268"/>
            <w:shd w:fill="F2F2F2"/>
            <w:vAlign w:val="center"/>
          </w:tcPr>
          <w:p>
            <w:r>
              <w:rPr>
                <w:rFonts w:ascii="Carlito" w:hAnsi="Carlito" w:eastAsia="Carlito"/>
                <w:sz w:val="18"/>
              </w:rPr>
              <w:t>FS-R26</w:t>
            </w:r>
          </w:p>
        </w:tc>
        <w:tc>
          <w:tcPr>
            <w:tcW w:type="dxa" w:w="4706"/>
            <w:shd w:fill="F2F2F2"/>
            <w:vAlign w:val="center"/>
          </w:tcPr>
          <w:p>
            <w:r>
              <w:rPr>
                <w:rFonts w:ascii="Carlito" w:hAnsi="Carlito" w:eastAsia="Carlito"/>
                <w:sz w:val="18"/>
              </w:rPr>
              <w:t>Corrección de factura simplificada.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reiniciar ni alterar manualmente una numeración que ya haya generado documentos fiscales sin analizar sus consecuencias. Puede producir duplicidades, huecos incoherentes o problemas de trazabilidad.</w:t>
            </w:r>
          </w:p>
        </w:tc>
      </w:tr>
    </w:tbl>
    <w:p>
      <w:pPr>
        <w:spacing w:after="20"/>
      </w:pPr>
    </w:p>
    <w:p>
      <w:pPr>
        <w:pStyle w:val="Heading2"/>
        <w:keepNext/>
      </w:pPr>
      <w:r>
        <w:t>2.5 Impresión, PDF y correo</w:t>
      </w:r>
    </w:p>
    <w:p>
      <w:pPr>
        <w:pStyle w:val="BodyText"/>
        <w:keepLines w:val="0"/>
        <w:spacing w:after="100" w:line="259" w:lineRule="auto"/>
        <w:ind w:left="0"/>
      </w:pPr>
      <w:r>
        <w:rPr>
          <w:rFonts w:ascii="Carlito" w:hAnsi="Carlito" w:eastAsia="Carlito"/>
          <w:i w:val="0"/>
          <w:sz w:val="21"/>
        </w:rPr>
        <w:t>FacturLinEx puede imprimir tickets e informes, generar documentos PDF y enviarlos por correo. Deben revisarse las impresoras, plantillas, rutas de salida y credenciales de correo.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tickets seleccionada y probada.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informes o facturas seleccionada.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Plantillas .lrf localizadas y compatibles con los campos utilizados.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Ruta de PDF con permisos de escritura.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Servidor SMTP, puerto, seguridad, usuario y remitente configurados.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envío realizada y mensaje informativo visible por encima de otros controles.</w:t>
            </w:r>
          </w:p>
        </w:tc>
      </w:tr>
    </w:tbl>
    <w:p>
      <w:pPr>
        <w:spacing w:after="40"/>
      </w:pPr>
    </w:p>
    <w:p>
      <w:pPr>
        <w:pStyle w:val="Heading2"/>
        <w:keepNext/>
      </w:pPr>
      <w:r>
        <w:t>2.6 VeriFactu</w:t>
      </w:r>
    </w:p>
    <w:p>
      <w:pPr>
        <w:pStyle w:val="BodyText"/>
        <w:keepLines w:val="0"/>
        <w:spacing w:after="100" w:line="259" w:lineRule="auto"/>
        <w:ind w:left="0"/>
      </w:pPr>
      <w:r>
        <w:rPr>
          <w:rFonts w:ascii="Carlito" w:hAnsi="Carlito" w:eastAsia="Carlito"/>
          <w:i w:val="0"/>
          <w:sz w:val="21"/>
        </w:rPr>
        <w:t>Antes de activar el entorno de producción, deben revisarse los datos de empresa, las series, la generación de fechas y horas, el encadenamiento de registros y la configuración de envío. Los estados y errores se consultan en el monitor de la cola.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PRODUCCIÓN: </w:t>
            </w:r>
            <w:r>
              <w:rPr>
                <w:rFonts w:ascii="Carlito" w:hAnsi="Carlito" w:eastAsia="Carlito"/>
                <w:color w:val="000000"/>
                <w:sz w:val="19"/>
              </w:rPr>
              <w:t>La indicación Sistema en producción debe ser visible y destacada. No activar el entorno real hasta completar pruebas controladas.</w:t>
            </w:r>
          </w:p>
        </w:tc>
      </w:tr>
    </w:tbl>
    <w:p>
      <w:pPr>
        <w:spacing w:after="20"/>
      </w:pPr>
    </w:p>
    <w:p>
      <w:pPr>
        <w:pStyle w:val="Heading2"/>
        <w:keepNext/>
      </w:pPr>
      <w:r>
        <w:t>2.7 Copias de seguridad iniciales</w:t>
      </w:r>
    </w:p>
    <w:p>
      <w:pPr>
        <w:pStyle w:val="BodyText"/>
        <w:keepLines w:val="0"/>
        <w:spacing w:after="100" w:line="259" w:lineRule="auto"/>
        <w:ind w:left="0"/>
      </w:pPr>
      <w:r>
        <w:rPr>
          <w:rFonts w:ascii="Carlito" w:hAnsi="Carlito" w:eastAsia="Carlito"/>
          <w:i w:val="0"/>
          <w:sz w:val="21"/>
        </w:rPr>
        <w:t>Debe existir al menos una copia completa antes de comenzar a trabajar y otra antes de cualquier cambio importante. Una copia solo es fiable cuando puede restaurarse correctamente.</w:t>
      </w:r>
    </w:p>
    <w:p>
      <w:pPr>
        <w:pStyle w:val="ListBullet"/>
        <w:spacing w:after="40" w:line="240" w:lineRule="auto"/>
      </w:pPr>
      <w:r>
        <w:rPr>
          <w:rFonts w:ascii="Carlito" w:hAnsi="Carlito" w:eastAsia="Carlito"/>
          <w:sz w:val="20"/>
        </w:rPr>
        <w:t>Guardar una copia fuera del servidor principal.</w:t>
      </w:r>
    </w:p>
    <w:p>
      <w:pPr>
        <w:pStyle w:val="ListBullet"/>
        <w:spacing w:after="40" w:line="240" w:lineRule="auto"/>
      </w:pPr>
      <w:r>
        <w:rPr>
          <w:rFonts w:ascii="Carlito" w:hAnsi="Carlito" w:eastAsia="Carlito"/>
          <w:sz w:val="20"/>
        </w:rPr>
        <w:t>Conservar varias fechas, no únicamente la última.</w:t>
      </w:r>
    </w:p>
    <w:p>
      <w:pPr>
        <w:pStyle w:val="ListBullet"/>
        <w:spacing w:after="40" w:line="240" w:lineRule="auto"/>
      </w:pPr>
      <w:r>
        <w:rPr>
          <w:rFonts w:ascii="Carlito" w:hAnsi="Carlito" w:eastAsia="Carlito"/>
          <w:sz w:val="20"/>
        </w:rPr>
        <w:t>Registrar qué versión del programa y de la base de datos corresponde a cada copia.</w:t>
      </w:r>
    </w:p>
    <w:p>
      <w:pPr>
        <w:pStyle w:val="ListBullet"/>
        <w:spacing w:after="40" w:line="240" w:lineRule="auto"/>
      </w:pPr>
      <w:r>
        <w:rPr>
          <w:rFonts w:ascii="Carlito" w:hAnsi="Carlito" w:eastAsia="Carlito"/>
          <w:sz w:val="20"/>
        </w:rPr>
        <w:t>Probar periódicamente la restauración en un entorno separado.</w:t>
      </w:r>
    </w:p>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validada clientes_moderno_v2_fix13_selector_formulario_facturas.zip.</w:t>
            </w:r>
          </w:p>
        </w:tc>
      </w:tr>
    </w:tbl>
    <w:p>
      <w:pPr>
        <w:spacing w:after="20"/>
      </w:pPr>
    </w:p>
    <w:p>
      <w:pPr>
        <w:pStyle w:val="Heading2"/>
        <w:keepNext/>
      </w:pPr>
      <w:r>
        <w:t>3.1 Acceso y foco inicial</w:t>
      </w:r>
    </w:p>
    <w:p>
      <w:pPr>
        <w:pStyle w:val="BodyText"/>
        <w:keepLines w:val="0"/>
        <w:spacing w:after="100" w:line="259" w:lineRule="auto"/>
        <w:ind w:left="0"/>
      </w:pPr>
      <w:r>
        <w:rPr>
          <w:rFonts w:ascii="Carlito" w:hAnsi="Carlito" w:eastAsia="Carlito"/>
          <w:i w:val="0"/>
          <w:sz w:val="21"/>
        </w:rPr>
        <w:t>Al abrir el formulario de Clientes, el foco debe situarse en el campo Código, que es el punto de entrada principal. Esto permite consultar o crear clientes sin utilizar el ratón.</w:t>
      </w:r>
    </w:p>
    <w:p>
      <w:pPr>
        <w:pStyle w:val="ListBullet"/>
        <w:spacing w:after="40" w:line="240" w:lineRule="auto"/>
      </w:pPr>
      <w:r>
        <w:rPr>
          <w:rFonts w:ascii="Carlito" w:hAnsi="Carlito" w:eastAsia="Carlito"/>
          <w:sz w:val="20"/>
        </w:rPr>
        <w:t>ESC cierra el formulario desde la página principal.</w:t>
      </w:r>
    </w:p>
    <w:p>
      <w:pPr>
        <w:pStyle w:val="ListBullet"/>
        <w:spacing w:after="40" w:line="240" w:lineRule="auto"/>
      </w:pPr>
      <w:r>
        <w:rPr>
          <w:rFonts w:ascii="Carlito" w:hAnsi="Carlito" w:eastAsia="Carlito"/>
          <w:sz w:val="20"/>
        </w:rPr>
        <w:t>Si existe un selector, diálogo o edición pendiente, ESC debe atender primero ese elemento.</w:t>
      </w:r>
    </w:p>
    <w:p>
      <w:pPr>
        <w:pStyle w:val="ListBullet"/>
        <w:spacing w:after="40" w:line="240" w:lineRule="auto"/>
      </w:pPr>
      <w:r>
        <w:rPr>
          <w:rFonts w:ascii="Carlito" w:hAnsi="Carlito" w:eastAsia="Carlito"/>
          <w:sz w:val="20"/>
        </w:rPr>
        <w:t>Los grids permiten ordenar por columnas y muestran el sentido de ordenación.</w:t>
      </w:r>
    </w:p>
    <w:p>
      <w:pPr>
        <w:pStyle w:val="Heading2"/>
        <w:keepNext/>
      </w:pPr>
      <w:r>
        <w:t>3.2 Consultar un cliente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Escribir el código si se conoce y confirmar.</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Utilizar la búsqueda por nombre, razón social, NIF o datos relacionados cuando no se conozca el código.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la ficha completa antes de modificarla, especialmente condiciones fiscales, tarifas y opciones de facturación.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documentos asociados desde los selectores o pestañas disponibles.</w:t>
      </w:r>
    </w:p>
    <w:p>
      <w:pPr>
        <w:pStyle w:val="Heading2"/>
        <w:keepNext/>
      </w:pPr>
      <w:r>
        <w:t>3.3 Crear un cliente</w:t>
      </w:r>
    </w:p>
    <w:p>
      <w:pPr>
        <w:pStyle w:val="BodyText"/>
        <w:keepLines w:val="0"/>
        <w:spacing w:after="100" w:line="259" w:lineRule="auto"/>
        <w:ind w:left="0"/>
      </w:pPr>
      <w:r>
        <w:rPr>
          <w:rFonts w:ascii="Carlito" w:hAnsi="Carlito" w:eastAsia="Carlito"/>
          <w:i w:val="0"/>
          <w:sz w:val="21"/>
        </w:rPr>
        <w:t>El código propuesto debe respetar la misma lógica utilizada por Ventas y por la ficha de Clientes. Antes de guardar, debe comprobarse que el cliente no existe con otro código.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Código correcto y no duplicado.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Nombre o razón social completo.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NIF/CIF/DNI/NIE revisado.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Dirección, población, provincia y código postal.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Teléfono y correo electrónico.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y condiciones comerciales.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o circuito de facturación cuando proceda.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Opciones especiales C41, C42, C55, C56 y C57 revisadas cuando sean aplicables.</w:t>
            </w:r>
          </w:p>
        </w:tc>
      </w:tr>
    </w:tbl>
    <w:p>
      <w:pPr>
        <w:spacing w:after="40"/>
      </w:pPr>
    </w:p>
    <w:p>
      <w:pPr>
        <w:pStyle w:val="Heading2"/>
        <w:keepNext/>
      </w:pPr>
      <w:r>
        <w:t>3.4 Coincidencias de NIF</w:t>
      </w:r>
    </w:p>
    <w:p>
      <w:pPr>
        <w:pStyle w:val="BodyText"/>
        <w:keepLines w:val="0"/>
        <w:spacing w:after="100" w:line="259" w:lineRule="auto"/>
        <w:ind w:left="0"/>
      </w:pPr>
      <w:r>
        <w:rPr>
          <w:rFonts w:ascii="Carlito" w:hAnsi="Carlito" w:eastAsia="Carlito"/>
          <w:i w:val="0"/>
          <w:sz w:val="21"/>
        </w:rPr>
        <w:t>Cuando un NIF coincide con más de un cliente, no debe seleccionarse automáticamente el primer registro. Debe mostrarse una ventana con todas las coincidencias para que el usuario elija la entidad correcta. Este caso aparece con frecuencia en entidades públicas, grupos relacionados o fichas históricas.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BUENAS PRÁCTICAS: </w:t>
            </w:r>
            <w:r>
              <w:rPr>
                <w:rFonts w:ascii="Carlito" w:hAnsi="Carlito" w:eastAsia="Carlito"/>
                <w:color w:val="000000"/>
                <w:sz w:val="19"/>
              </w:rPr>
              <w:t>No utilizar únicamente el NIF para decidir el cliente. Comparar también nombre, dirección, centro, departamento y código interno.</w:t>
            </w:r>
          </w:p>
        </w:tc>
      </w:tr>
    </w:tbl>
    <w:p>
      <w:pPr>
        <w:spacing w:after="20"/>
      </w:pPr>
    </w:p>
    <w:p>
      <w:pPr>
        <w:pStyle w:val="Heading2"/>
        <w:keepNext/>
      </w:pPr>
      <w:r>
        <w:t>3.5 Cliente a precio de coste</w:t>
      </w:r>
    </w:p>
    <w:p>
      <w:pPr>
        <w:pStyle w:val="BodyText"/>
        <w:keepLines w:val="0"/>
        <w:spacing w:after="100" w:line="259" w:lineRule="auto"/>
        <w:ind w:left="0"/>
      </w:pPr>
      <w:r>
        <w:rPr>
          <w:rFonts w:ascii="Carlito" w:hAnsi="Carlito" w:eastAsia="Carlito"/>
          <w:i w:val="0"/>
          <w:sz w:val="21"/>
        </w:rPr>
        <w:t>La opción asociada al campo C57 permite identificar clientes cuyas ventas deben calcularse con precios de coste, por ejemplo para consumo propio. Esta función requiere una revisión fiscal cuidadosa y debe comprobarse en Ventas antes de utilizarla de forma general.</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PENDIENTE DE VALIDACIÓN COMPLETA: </w:t>
            </w:r>
            <w:r>
              <w:rPr>
                <w:rFonts w:ascii="Carlito" w:hAnsi="Carlito" w:eastAsia="Carlito"/>
                <w:color w:val="000000"/>
                <w:sz w:val="19"/>
              </w:rPr>
              <w:t>La lógica comercial puede estar implementada, pero el tratamiento del IVA, márgenes, descuentos, estadísticas y documentos debe comprobarse en cada circuito.</w:t>
            </w:r>
          </w:p>
        </w:tc>
      </w:tr>
    </w:tbl>
    <w:p>
      <w:pPr>
        <w:spacing w:after="20"/>
      </w:pPr>
    </w:p>
    <w:p>
      <w:pPr>
        <w:pStyle w:val="Heading2"/>
        <w:keepNext/>
      </w:pPr>
      <w:r>
        <w:t>3.6 Modificación y borrado</w:t>
      </w:r>
    </w:p>
    <w:p>
      <w:pPr>
        <w:pStyle w:val="BodyText"/>
        <w:keepLines w:val="0"/>
        <w:spacing w:after="100" w:line="259" w:lineRule="auto"/>
        <w:ind w:left="0"/>
      </w:pPr>
      <w:r>
        <w:rPr>
          <w:rFonts w:ascii="Carlito" w:hAnsi="Carlito" w:eastAsia="Carlito"/>
          <w:i w:val="0"/>
          <w:sz w:val="21"/>
        </w:rPr>
        <w:t>Antes de modificar datos fiscales o comerciales, debe revisarse si el cliente tiene documentos pendientes. El borrado físico de clientes con histórico puede afectar consultas y trazabilidad; cuando sea posible, es preferible desactivar o marcar la ficha en lugar de eliminarla.</w:t>
      </w:r>
    </w:p>
    <w:p>
      <w:pPr>
        <w:pStyle w:val="Heading2"/>
        <w:keepNext/>
      </w:pPr>
      <w:r>
        <w:t>3.7 Lista de comprobación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foco entra en Código.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búsqueda general se abre centrada y permite ver el formulario de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columnas ordenan correctamente.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botones de búsqueda y rutas son visibles.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opciones críticas no quedan ocultas.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ESC vuelve al menú sin cerrar diálogos de forma insegura.</w:t>
            </w:r>
          </w:p>
        </w:tc>
      </w:tr>
    </w:tbl>
    <w:p>
      <w:pPr>
        <w:spacing w:after="40"/>
      </w:pP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cliente con campos principales y opciones críticas</w:t>
            </w:r>
          </w:p>
        </w:tc>
      </w:tr>
    </w:tbl>
    <w:p>
      <w:pPr>
        <w:spacing w:after="40"/>
      </w:pPr>
    </w:p>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de Ventas validada como final y estable con atajos en la línea inferior. Los circuitos rectificativos continúan requiriendo pruebas específicas.</w:t>
            </w:r>
          </w:p>
        </w:tc>
      </w:tr>
    </w:tbl>
    <w:p>
      <w:pPr>
        <w:spacing w:after="20"/>
      </w:pPr>
    </w:p>
    <w:p>
      <w:pPr>
        <w:pStyle w:val="Heading2"/>
        <w:keepNext/>
      </w:pPr>
      <w:r>
        <w:t>5.1 Objetivo de la pantalla</w:t>
      </w:r>
    </w:p>
    <w:p>
      <w:pPr>
        <w:pStyle w:val="BodyText"/>
        <w:keepLines w:val="0"/>
        <w:spacing w:after="100" w:line="259" w:lineRule="auto"/>
        <w:ind w:left="0"/>
      </w:pPr>
      <w:r>
        <w:rPr>
          <w:rFonts w:ascii="Carlito" w:hAnsi="Carlito" w:eastAsia="Carlito"/>
          <w:i w:val="0"/>
          <w:sz w:val="21"/>
        </w:rPr>
        <w:t>La pantalla de Ventas permite identificar al cliente, introducir artículos, aplicar cantidades y descuentos, totalizar, cobrar, emitir documentos y gestionar situaciones especiales. Está pensada para funcionar con teclado, ratón y pantalla táctil.</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Pantalla principal de Ventas con cabecera, líneas, totales y barra de atajos</w:t>
            </w:r>
          </w:p>
        </w:tc>
      </w:tr>
    </w:tbl>
    <w:p>
      <w:pPr>
        <w:spacing w:after="40"/>
      </w:pPr>
    </w:p>
    <w:p>
      <w:pPr>
        <w:pStyle w:val="Heading2"/>
        <w:keepNext/>
      </w:pPr>
      <w:r>
        <w:t>5.2 Preparación antes de vender</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tienda y el puesto mostrados son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usuario activo es el adecuado.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trabajo corresponde al tipo de documento.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impresora de tickets está disponible.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base de datos tiene conexión.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teclado de productos, si se utiliza, carga los grupos e imágenes esperados.</w:t>
            </w:r>
          </w:p>
        </w:tc>
      </w:tr>
    </w:tbl>
    <w:p>
      <w:pPr>
        <w:spacing w:after="40"/>
      </w:pPr>
    </w:p>
    <w:p>
      <w:pPr>
        <w:pStyle w:val="Heading2"/>
        <w:keepNext/>
      </w:pPr>
      <w:r>
        <w:t>5.3 Selección del cliente</w:t>
      </w:r>
    </w:p>
    <w:p>
      <w:pPr>
        <w:pStyle w:val="BodyText"/>
        <w:keepLines w:val="0"/>
        <w:spacing w:after="100" w:line="259" w:lineRule="auto"/>
        <w:ind w:left="0"/>
      </w:pPr>
      <w:r>
        <w:rPr>
          <w:rFonts w:ascii="Carlito" w:hAnsi="Carlito" w:eastAsia="Carlito"/>
          <w:i w:val="0"/>
          <w:sz w:val="21"/>
        </w:rPr>
        <w:t>En una venta genérica puede utilizarse el cliente predeterminado. Para facturas, créditos, albaranes o condiciones especiales, debe seleccionarse la ficha correcta.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685"/>
            <w:shd w:fill="1F4E78"/>
            <w:vAlign w:val="center"/>
          </w:tcPr>
          <w:p>
            <w:r>
              <w:rPr>
                <w:rFonts w:ascii="Carlito" w:hAnsi="Carlito" w:eastAsia="Carlito"/>
                <w:b/>
                <w:color w:val="FFFFFF"/>
                <w:sz w:val="18"/>
              </w:rPr>
              <w:t>Acción</w:t>
            </w:r>
          </w:p>
        </w:tc>
        <w:tc>
          <w:tcPr>
            <w:tcW w:type="dxa" w:w="5669"/>
            <w:shd w:fill="1F4E78"/>
            <w:vAlign w:val="center"/>
          </w:tcPr>
          <w:p>
            <w:r>
              <w:rPr>
                <w:rFonts w:ascii="Carlito" w:hAnsi="Carlito" w:eastAsia="Carlito"/>
                <w:b/>
                <w:color w:val="FFFFFF"/>
                <w:sz w:val="18"/>
              </w:rPr>
              <w:t>Atajo o método</w:t>
            </w:r>
          </w:p>
        </w:tc>
      </w:tr>
      <w:tr>
        <w:trPr>
          <w:cantSplit/>
        </w:trPr>
        <w:tc>
          <w:tcPr>
            <w:tcW w:type="dxa" w:w="3685"/>
            <w:vAlign w:val="center"/>
          </w:tcPr>
          <w:p>
            <w:r>
              <w:rPr>
                <w:rFonts w:ascii="Carlito" w:hAnsi="Carlito" w:eastAsia="Carlito"/>
                <w:sz w:val="18"/>
              </w:rPr>
              <w:t>Ir al código de cliente</w:t>
            </w:r>
          </w:p>
        </w:tc>
        <w:tc>
          <w:tcPr>
            <w:tcW w:type="dxa" w:w="5669"/>
            <w:vAlign w:val="center"/>
          </w:tcPr>
          <w:p>
            <w:r>
              <w:rPr>
                <w:rFonts w:ascii="Carlito" w:hAnsi="Carlito" w:eastAsia="Carlito"/>
                <w:sz w:val="18"/>
              </w:rPr>
              <w:t>Ctrl + O</w:t>
            </w:r>
          </w:p>
        </w:tc>
      </w:tr>
      <w:tr>
        <w:trPr>
          <w:cantSplit/>
        </w:trPr>
        <w:tc>
          <w:tcPr>
            <w:tcW w:type="dxa" w:w="3685"/>
            <w:shd w:fill="F2F2F2"/>
            <w:vAlign w:val="center"/>
          </w:tcPr>
          <w:p>
            <w:r>
              <w:rPr>
                <w:rFonts w:ascii="Carlito" w:hAnsi="Carlito" w:eastAsia="Carlito"/>
                <w:sz w:val="18"/>
              </w:rPr>
              <w:t>Ir al nombre de cliente</w:t>
            </w:r>
          </w:p>
        </w:tc>
        <w:tc>
          <w:tcPr>
            <w:tcW w:type="dxa" w:w="5669"/>
            <w:shd w:fill="F2F2F2"/>
            <w:vAlign w:val="center"/>
          </w:tcPr>
          <w:p>
            <w:r>
              <w:rPr>
                <w:rFonts w:ascii="Carlito" w:hAnsi="Carlito" w:eastAsia="Carlito"/>
                <w:sz w:val="18"/>
              </w:rPr>
              <w:t>Ctrl + U</w:t>
            </w:r>
          </w:p>
        </w:tc>
      </w:tr>
      <w:tr>
        <w:trPr>
          <w:cantSplit/>
        </w:trPr>
        <w:tc>
          <w:tcPr>
            <w:tcW w:type="dxa" w:w="3685"/>
            <w:vAlign w:val="center"/>
          </w:tcPr>
          <w:p>
            <w:r>
              <w:rPr>
                <w:rFonts w:ascii="Carlito" w:hAnsi="Carlito" w:eastAsia="Carlito"/>
                <w:sz w:val="18"/>
              </w:rPr>
              <w:t>Crear o iniciar cliente nuevo</w:t>
            </w:r>
          </w:p>
        </w:tc>
        <w:tc>
          <w:tcPr>
            <w:tcW w:type="dxa" w:w="5669"/>
            <w:vAlign w:val="center"/>
          </w:tcPr>
          <w:p>
            <w:r>
              <w:rPr>
                <w:rFonts w:ascii="Carlito" w:hAnsi="Carlito" w:eastAsia="Carlito"/>
                <w:sz w:val="18"/>
              </w:rPr>
              <w:t>Ctrl + N, según la versión validada</w:t>
            </w:r>
          </w:p>
        </w:tc>
      </w:tr>
      <w:tr>
        <w:trPr>
          <w:cantSplit/>
        </w:trPr>
        <w:tc>
          <w:tcPr>
            <w:tcW w:type="dxa" w:w="3685"/>
            <w:shd w:fill="F2F2F2"/>
            <w:vAlign w:val="center"/>
          </w:tcPr>
          <w:p>
            <w:r>
              <w:rPr>
                <w:rFonts w:ascii="Carlito" w:hAnsi="Carlito" w:eastAsia="Carlito"/>
                <w:sz w:val="18"/>
              </w:rPr>
              <w:t>Buscar por NIF</w:t>
            </w:r>
          </w:p>
        </w:tc>
        <w:tc>
          <w:tcPr>
            <w:tcW w:type="dxa" w:w="5669"/>
            <w:shd w:fill="F2F2F2"/>
            <w:vAlign w:val="center"/>
          </w:tcPr>
          <w:p>
            <w:r>
              <w:rPr>
                <w:rFonts w:ascii="Carlito" w:hAnsi="Carlito" w:eastAsia="Carlito"/>
                <w:sz w:val="18"/>
              </w:rPr>
              <w:t>Utilizar la búsqueda y seleccionar entre coincidencias si existen varias.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COMPROBACIÓN: </w:t>
            </w:r>
            <w:r>
              <w:rPr>
                <w:rFonts w:ascii="Carlito" w:hAnsi="Carlito" w:eastAsia="Carlito"/>
                <w:color w:val="000000"/>
                <w:sz w:val="19"/>
              </w:rPr>
              <w:t>Antes de totalizar una factura completa, revisar nombre, NIF, dirección y serie. Corregir después puede requerir anulación o rectificativa.</w:t>
            </w:r>
          </w:p>
        </w:tc>
      </w:tr>
    </w:tbl>
    <w:p>
      <w:pPr>
        <w:spacing w:after="20"/>
      </w:pPr>
    </w:p>
    <w:p>
      <w:pPr>
        <w:pStyle w:val="Heading2"/>
        <w:keepNext/>
      </w:pPr>
      <w:r>
        <w:t>5.4 Introducción de artículos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Situar el foco en el campo de código o EAN.</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Leer el código con escáner o escribirlo manualmente.</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Confirmar la descripción, cantidad, PVP, IVA y descuentos mostrados.</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Modificar cantidad o precio únicamente cuando el usuario esté autorizado.</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Repetir hasta completar la venta.</w:t>
      </w:r>
    </w:p>
    <w:p>
      <w:pPr>
        <w:pStyle w:val="BodyText"/>
        <w:keepLines w:val="0"/>
        <w:spacing w:after="100" w:line="259" w:lineRule="auto"/>
        <w:ind w:left="0"/>
      </w:pPr>
      <w:r>
        <w:rPr>
          <w:rFonts w:ascii="Carlito" w:hAnsi="Carlito" w:eastAsia="Carlito"/>
          <w:i w:val="0"/>
          <w:sz w:val="21"/>
        </w:rPr>
        <w:t>Las líneas de venta deben reflejar el precio real aplicado. Cuando existe descuento, las estadísticas deben considerar el precio efectivo vendido, no únicamente el PVP original de tarifa.</w:t>
      </w:r>
    </w:p>
    <w:p>
      <w:pPr>
        <w:pStyle w:val="Heading2"/>
        <w:keepNext/>
      </w:pPr>
      <w:r>
        <w:t>5.5 Códigos varios</w:t>
      </w:r>
    </w:p>
    <w:p>
      <w:pPr>
        <w:pStyle w:val="BodyText"/>
        <w:keepLines w:val="0"/>
        <w:spacing w:after="100" w:line="259" w:lineRule="auto"/>
        <w:ind w:left="0"/>
      </w:pPr>
      <w:r>
        <w:rPr>
          <w:rFonts w:ascii="Carlito" w:hAnsi="Carlito" w:eastAsia="Carlito"/>
          <w:i w:val="0"/>
          <w:sz w:val="21"/>
        </w:rPr>
        <w:t>El panel de código vario permite introducir una descripción, cantidad y PVP para conceptos no vinculados a un artículo estándar. El orden de tabulación debe ser Descripción, Cantidad y PVP, permitiendo trabajar con ENTER o TAB.</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USO CONTROLADO: </w:t>
            </w:r>
            <w:r>
              <w:rPr>
                <w:rFonts w:ascii="Carlito" w:hAnsi="Carlito" w:eastAsia="Carlito"/>
                <w:color w:val="000000"/>
                <w:sz w:val="19"/>
              </w:rPr>
              <w:t>Los códigos varios reducen trazabilidad de stock y estadísticas. Utilizarlos solo cuando no exista un artículo adecuado o en casos justificados.</w:t>
            </w:r>
          </w:p>
        </w:tc>
      </w:tr>
    </w:tbl>
    <w:p>
      <w:pPr>
        <w:spacing w:after="20"/>
      </w:pPr>
    </w:p>
    <w:p>
      <w:pPr>
        <w:pStyle w:val="Heading2"/>
        <w:keepNext/>
      </w:pPr>
      <w:r>
        <w:t>5.6 Teclado virtual y teclado de productos</w:t>
      </w:r>
    </w:p>
    <w:p>
      <w:pPr>
        <w:pStyle w:val="BodyText"/>
        <w:keepLines w:val="0"/>
        <w:spacing w:after="100" w:line="259" w:lineRule="auto"/>
        <w:ind w:left="0"/>
      </w:pPr>
      <w:r>
        <w:rPr>
          <w:rFonts w:ascii="Carlito" w:hAnsi="Carlito" w:eastAsia="Carlito"/>
          <w:i w:val="0"/>
          <w:sz w:val="21"/>
        </w:rPr>
        <w:t>El teclado virtual cambia entre modo numérico y alfanumérico según el campo activo. Puede ocultarse sin bloquear el formulario. El teclado de productos se construye por grupos y orden configurado, relacionando los botones con artículos reales.</w:t>
      </w:r>
    </w:p>
    <w:p>
      <w:pPr>
        <w:pStyle w:val="ListBullet"/>
        <w:spacing w:after="40" w:line="240" w:lineRule="auto"/>
      </w:pPr>
      <w:r>
        <w:rPr>
          <w:rFonts w:ascii="Carlito" w:hAnsi="Carlito" w:eastAsia="Carlito"/>
          <w:sz w:val="20"/>
        </w:rPr>
        <w:t>Cantidad y precio: teclado numérico.</w:t>
      </w:r>
    </w:p>
    <w:p>
      <w:pPr>
        <w:pStyle w:val="ListBullet"/>
        <w:spacing w:after="40" w:line="240" w:lineRule="auto"/>
      </w:pPr>
      <w:r>
        <w:rPr>
          <w:rFonts w:ascii="Carlito" w:hAnsi="Carlito" w:eastAsia="Carlito"/>
          <w:sz w:val="20"/>
        </w:rPr>
        <w:t>Descripción y búsquedas: teclado alfanumérico.</w:t>
      </w:r>
    </w:p>
    <w:p>
      <w:pPr>
        <w:pStyle w:val="ListBullet"/>
        <w:spacing w:after="40" w:line="240" w:lineRule="auto"/>
      </w:pPr>
      <w:r>
        <w:rPr>
          <w:rFonts w:ascii="Carlito" w:hAnsi="Carlito" w:eastAsia="Carlito"/>
          <w:sz w:val="20"/>
        </w:rPr>
        <w:t>El botón Ocultar minimiza el teclado, no debe cerrar ni bloquear la venta.</w:t>
      </w:r>
    </w:p>
    <w:p>
      <w:pPr>
        <w:pStyle w:val="ListBullet"/>
        <w:spacing w:after="40" w:line="240" w:lineRule="auto"/>
      </w:pPr>
      <w:r>
        <w:rPr>
          <w:rFonts w:ascii="Carlito" w:hAnsi="Carlito" w:eastAsia="Carlito"/>
          <w:sz w:val="20"/>
        </w:rPr>
        <w:t>Los productos pueden activarse o desactivarse de forma múltiple desde su configuración.</w:t>
      </w:r>
    </w:p>
    <w:p>
      <w:pPr>
        <w:pStyle w:val="ListBullet"/>
        <w:spacing w:after="40" w:line="240" w:lineRule="auto"/>
      </w:pPr>
      <w:r>
        <w:rPr>
          <w:rFonts w:ascii="Carlito" w:hAnsi="Carlito" w:eastAsia="Carlito"/>
          <w:sz w:val="20"/>
        </w:rPr>
        <w:t>La búsqueda para añadir productos puede realizarse por descripción o EAN.</w:t>
      </w:r>
    </w:p>
    <w:p>
      <w:pPr>
        <w:pStyle w:val="Heading2"/>
        <w:keepNext/>
      </w:pPr>
      <w:r>
        <w:t>5.7 Totalización y cobro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Revisar las líneas y el total.</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Abrir la totalización con la tecla o botón indicado en la barra inferior.</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Seleccionar la forma de pago.</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Introducir la entrega. El foco debe pasar automáticamente al campo correspondiente cuando proceda.</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el cambio.</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Confirmar e imprimir o generar el documento.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VISIBILIDAD: </w:t>
            </w:r>
            <w:r>
              <w:rPr>
                <w:rFonts w:ascii="Carlito" w:hAnsi="Carlito" w:eastAsia="Carlito"/>
                <w:color w:val="000000"/>
                <w:sz w:val="19"/>
              </w:rPr>
              <w:t>La ventana de cobro debe tener un marco diferenciado. Los textos Entrega y Cambio deben aparecer claramente separados del Total.</w:t>
            </w:r>
          </w:p>
        </w:tc>
      </w:tr>
    </w:tbl>
    <w:p>
      <w:pPr>
        <w:spacing w:after="20"/>
      </w:pPr>
    </w:p>
    <w:p>
      <w:pPr>
        <w:pStyle w:val="Heading2"/>
        <w:keepNext/>
      </w:pPr>
      <w:r>
        <w:t>5.8 Ticket, albarán y factura</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shd w:fill="1F4E78"/>
            <w:vAlign w:val="center"/>
          </w:tcPr>
          <w:p>
            <w:r>
              <w:rPr>
                <w:rFonts w:ascii="Carlito" w:hAnsi="Carlito" w:eastAsia="Carlito"/>
                <w:b/>
                <w:color w:val="FFFFFF"/>
                <w:sz w:val="18"/>
              </w:rPr>
              <w:t>Documento</w:t>
            </w:r>
          </w:p>
        </w:tc>
        <w:tc>
          <w:tcPr>
            <w:tcW w:type="dxa" w:w="2835"/>
            <w:shd w:fill="1F4E78"/>
            <w:vAlign w:val="center"/>
          </w:tcPr>
          <w:p>
            <w:r>
              <w:rPr>
                <w:rFonts w:ascii="Carlito" w:hAnsi="Carlito" w:eastAsia="Carlito"/>
                <w:b/>
                <w:color w:val="FFFFFF"/>
                <w:sz w:val="18"/>
              </w:rPr>
              <w:t>Uso habitual</w:t>
            </w:r>
          </w:p>
        </w:tc>
        <w:tc>
          <w:tcPr>
            <w:tcW w:type="dxa" w:w="4252"/>
            <w:shd w:fill="1F4E78"/>
            <w:vAlign w:val="center"/>
          </w:tcPr>
          <w:p>
            <w:r>
              <w:rPr>
                <w:rFonts w:ascii="Carlito" w:hAnsi="Carlito" w:eastAsia="Carlito"/>
                <w:b/>
                <w:color w:val="FFFFFF"/>
                <w:sz w:val="18"/>
              </w:rPr>
              <w:t>Consideraciones</w:t>
            </w:r>
          </w:p>
        </w:tc>
      </w:tr>
      <w:tr>
        <w:trPr>
          <w:cantSplit/>
        </w:trPr>
        <w:tc>
          <w:tcPr>
            <w:tcW w:type="dxa" w:w="2268"/>
            <w:vAlign w:val="center"/>
          </w:tcPr>
          <w:p>
            <w:r>
              <w:rPr>
                <w:rFonts w:ascii="Carlito" w:hAnsi="Carlito" w:eastAsia="Carlito"/>
                <w:sz w:val="18"/>
              </w:rPr>
              <w:t>Ticket / factura simplificada</w:t>
            </w:r>
          </w:p>
        </w:tc>
        <w:tc>
          <w:tcPr>
            <w:tcW w:type="dxa" w:w="2835"/>
            <w:vAlign w:val="center"/>
          </w:tcPr>
          <w:p>
            <w:r>
              <w:rPr>
                <w:rFonts w:ascii="Carlito" w:hAnsi="Carlito" w:eastAsia="Carlito"/>
                <w:sz w:val="18"/>
              </w:rPr>
              <w:t>Venta inmediata con requisitos simplificados.</w:t>
            </w:r>
          </w:p>
        </w:tc>
        <w:tc>
          <w:tcPr>
            <w:tcW w:type="dxa" w:w="4252"/>
            <w:vAlign w:val="center"/>
          </w:tcPr>
          <w:p>
            <w:r>
              <w:rPr>
                <w:rFonts w:ascii="Carlito" w:hAnsi="Carlito" w:eastAsia="Carlito"/>
                <w:sz w:val="18"/>
              </w:rPr>
              <w:t>Puede utilizar series FS-. Revisar límites y datos fiscales aplicables.</w:t>
            </w:r>
          </w:p>
        </w:tc>
      </w:tr>
      <w:tr>
        <w:trPr>
          <w:cantSplit/>
        </w:trPr>
        <w:tc>
          <w:tcPr>
            <w:tcW w:type="dxa" w:w="2268"/>
            <w:shd w:fill="F2F2F2"/>
            <w:vAlign w:val="center"/>
          </w:tcPr>
          <w:p>
            <w:r>
              <w:rPr>
                <w:rFonts w:ascii="Carlito" w:hAnsi="Carlito" w:eastAsia="Carlito"/>
                <w:sz w:val="18"/>
              </w:rPr>
              <w:t>Albarán</w:t>
            </w:r>
          </w:p>
        </w:tc>
        <w:tc>
          <w:tcPr>
            <w:tcW w:type="dxa" w:w="2835"/>
            <w:shd w:fill="F2F2F2"/>
            <w:vAlign w:val="center"/>
          </w:tcPr>
          <w:p>
            <w:r>
              <w:rPr>
                <w:rFonts w:ascii="Carlito" w:hAnsi="Carlito" w:eastAsia="Carlito"/>
                <w:sz w:val="18"/>
              </w:rPr>
              <w:t>Entrega pendiente de facturación.</w:t>
            </w:r>
          </w:p>
        </w:tc>
        <w:tc>
          <w:tcPr>
            <w:tcW w:type="dxa" w:w="4252"/>
            <w:shd w:fill="F2F2F2"/>
            <w:vAlign w:val="center"/>
          </w:tcPr>
          <w:p>
            <w:r>
              <w:rPr>
                <w:rFonts w:ascii="Carlito" w:hAnsi="Carlito" w:eastAsia="Carlito"/>
                <w:sz w:val="18"/>
              </w:rPr>
              <w:t>Normalmente debe anularse con otro albarán, no como ticket.</w:t>
            </w:r>
          </w:p>
        </w:tc>
      </w:tr>
      <w:tr>
        <w:trPr>
          <w:cantSplit/>
        </w:trPr>
        <w:tc>
          <w:tcPr>
            <w:tcW w:type="dxa" w:w="2268"/>
            <w:vAlign w:val="center"/>
          </w:tcPr>
          <w:p>
            <w:r>
              <w:rPr>
                <w:rFonts w:ascii="Carlito" w:hAnsi="Carlito" w:eastAsia="Carlito"/>
                <w:sz w:val="18"/>
              </w:rPr>
              <w:t>Factura completa</w:t>
            </w:r>
          </w:p>
        </w:tc>
        <w:tc>
          <w:tcPr>
            <w:tcW w:type="dxa" w:w="2835"/>
            <w:vAlign w:val="center"/>
          </w:tcPr>
          <w:p>
            <w:r>
              <w:rPr>
                <w:rFonts w:ascii="Carlito" w:hAnsi="Carlito" w:eastAsia="Carlito"/>
                <w:sz w:val="18"/>
              </w:rPr>
              <w:t>Documento fiscal con destinatario identificado.</w:t>
            </w:r>
          </w:p>
        </w:tc>
        <w:tc>
          <w:tcPr>
            <w:tcW w:type="dxa" w:w="4252"/>
            <w:vAlign w:val="center"/>
          </w:tcPr>
          <w:p>
            <w:r>
              <w:rPr>
                <w:rFonts w:ascii="Carlito" w:hAnsi="Carlito" w:eastAsia="Carlito"/>
                <w:sz w:val="18"/>
              </w:rPr>
              <w:t>Revisar cliente, NIF, dirección, serie y numeración.</w:t>
            </w:r>
          </w:p>
        </w:tc>
      </w:tr>
      <w:tr>
        <w:trPr>
          <w:cantSplit/>
        </w:trPr>
        <w:tc>
          <w:tcPr>
            <w:tcW w:type="dxa" w:w="2268"/>
            <w:shd w:fill="F2F2F2"/>
            <w:vAlign w:val="center"/>
          </w:tcPr>
          <w:p>
            <w:r>
              <w:rPr>
                <w:rFonts w:ascii="Carlito" w:hAnsi="Carlito" w:eastAsia="Carlito"/>
                <w:sz w:val="18"/>
              </w:rPr>
              <w:t>Rectificativa</w:t>
            </w:r>
          </w:p>
        </w:tc>
        <w:tc>
          <w:tcPr>
            <w:tcW w:type="dxa" w:w="2835"/>
            <w:shd w:fill="F2F2F2"/>
            <w:vAlign w:val="center"/>
          </w:tcPr>
          <w:p>
            <w:r>
              <w:rPr>
                <w:rFonts w:ascii="Carlito" w:hAnsi="Carlito" w:eastAsia="Carlito"/>
                <w:sz w:val="18"/>
              </w:rPr>
              <w:t>Corrección de otro documento.</w:t>
            </w:r>
          </w:p>
        </w:tc>
        <w:tc>
          <w:tcPr>
            <w:tcW w:type="dxa" w:w="4252"/>
            <w:shd w:fill="F2F2F2"/>
            <w:vAlign w:val="center"/>
          </w:tcPr>
          <w:p>
            <w:r>
              <w:rPr>
                <w:rFonts w:ascii="Carlito" w:hAnsi="Carlito" w:eastAsia="Carlito"/>
                <w:sz w:val="18"/>
              </w:rPr>
              <w:t>Debe indicar origen, motivo y relación con el documento original.</w:t>
            </w:r>
          </w:p>
        </w:tc>
      </w:tr>
    </w:tbl>
    <w:p>
      <w:pPr>
        <w:spacing w:after="40"/>
      </w:pPr>
    </w:p>
    <w:p>
      <w:pPr>
        <w:pStyle w:val="Heading2"/>
        <w:keepNext/>
      </w:pPr>
      <w:r>
        <w:t>5.9 Aparcar y recuperar ventas</w:t>
      </w:r>
    </w:p>
    <w:p>
      <w:pPr>
        <w:pStyle w:val="BodyText"/>
        <w:keepLines w:val="0"/>
        <w:spacing w:after="100" w:line="259" w:lineRule="auto"/>
        <w:ind w:left="0"/>
      </w:pPr>
      <w:r>
        <w:rPr>
          <w:rFonts w:ascii="Carlito" w:hAnsi="Carlito" w:eastAsia="Carlito"/>
          <w:i w:val="0"/>
          <w:sz w:val="21"/>
        </w:rPr>
        <w:t>Cuando una operación debe quedar pendiente, puede aparcarse y recuperarse posteriormente. Antes de recuperar, comprobar puesto, cliente, líneas y estado de la operación para evitar duplicidades.</w:t>
      </w:r>
    </w:p>
    <w:p>
      <w:pPr>
        <w:pStyle w:val="Heading2"/>
        <w:keepNext/>
      </w:pPr>
      <w:r>
        <w:t>5.10 Devoluciones y anulaciones</w:t>
      </w:r>
    </w:p>
    <w:p>
      <w:pPr>
        <w:pStyle w:val="BodyText"/>
        <w:keepLines w:val="0"/>
        <w:spacing w:after="100" w:line="259" w:lineRule="auto"/>
        <w:ind w:left="0"/>
      </w:pPr>
      <w:r>
        <w:rPr>
          <w:rFonts w:ascii="Carlito" w:hAnsi="Carlito" w:eastAsia="Carlito"/>
          <w:i w:val="0"/>
          <w:sz w:val="21"/>
        </w:rPr>
        <w:t>Las devoluciones pueden generar líneas negativas y activar el circuito rectificativo. El usuario debe indicar si el origen es simplificado o normal, la serie y número originales y el motivo obligatorio.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ALBARANES: </w:t>
            </w:r>
            <w:r>
              <w:rPr>
                <w:rFonts w:ascii="Carlito" w:hAnsi="Carlito" w:eastAsia="Carlito"/>
                <w:color w:val="000000"/>
                <w:sz w:val="19"/>
              </w:rPr>
              <w:t>Un albarán debe anularse normalmente mediante otro albarán. Si se intenta tratar como ticket, puede solicitar serie y número que no corresponden al circuito original. Evitar esta práctica salvo caso excepcional controlado.</w:t>
            </w:r>
          </w:p>
        </w:tc>
      </w:tr>
    </w:tbl>
    <w:p>
      <w:pPr>
        <w:spacing w:after="20"/>
      </w:pPr>
    </w:p>
    <w:p>
      <w:pPr>
        <w:pStyle w:val="ListBullet"/>
        <w:spacing w:after="40" w:line="240" w:lineRule="auto"/>
      </w:pPr>
      <w:r>
        <w:rPr>
          <w:rFonts w:ascii="Carlito" w:hAnsi="Carlito" w:eastAsia="Carlito"/>
          <w:sz w:val="20"/>
        </w:rPr>
        <w:t>Las ventas mixtas con líneas positivas y negativas pueden requerir separación documental.</w:t>
      </w:r>
    </w:p>
    <w:p>
      <w:pPr>
        <w:pStyle w:val="ListBullet"/>
        <w:spacing w:after="40" w:line="240" w:lineRule="auto"/>
      </w:pPr>
      <w:r>
        <w:rPr>
          <w:rFonts w:ascii="Carlito" w:hAnsi="Carlito" w:eastAsia="Carlito"/>
          <w:sz w:val="20"/>
        </w:rPr>
        <w:t>Las rectificativas manuales sin histórico deben vigilar posibles duplicidades.</w:t>
      </w:r>
    </w:p>
    <w:p>
      <w:pPr>
        <w:pStyle w:val="ListBullet"/>
        <w:spacing w:after="40" w:line="240" w:lineRule="auto"/>
      </w:pPr>
      <w:r>
        <w:rPr>
          <w:rFonts w:ascii="Carlito" w:hAnsi="Carlito" w:eastAsia="Carlito"/>
          <w:sz w:val="20"/>
        </w:rPr>
        <w:t>La búsqueda del documento original puede exigir coincidencia del cliente.</w:t>
      </w:r>
    </w:p>
    <w:p>
      <w:pPr>
        <w:pStyle w:val="ListBullet"/>
        <w:spacing w:after="40" w:line="240" w:lineRule="auto"/>
      </w:pPr>
      <w:r>
        <w:rPr>
          <w:rFonts w:ascii="Carlito" w:hAnsi="Carlito" w:eastAsia="Carlito"/>
          <w:sz w:val="20"/>
        </w:rPr>
        <w:t>Después de emitir una rectificativa, revisar impresión, histórico y cola VeriFactu.</w:t>
      </w:r>
    </w:p>
    <w:p>
      <w:pPr>
        <w:pStyle w:val="Heading2"/>
        <w:keepNext/>
      </w:pPr>
      <w:r>
        <w:t>5.11 Cierre seguro con ESC</w:t>
      </w:r>
    </w:p>
    <w:p>
      <w:pPr>
        <w:pStyle w:val="BodyText"/>
        <w:keepLines w:val="0"/>
        <w:spacing w:after="100" w:line="259" w:lineRule="auto"/>
        <w:ind w:left="0"/>
      </w:pPr>
      <w:r>
        <w:rPr>
          <w:rFonts w:ascii="Carlito" w:hAnsi="Carlito" w:eastAsia="Carlito"/>
          <w:i w:val="0"/>
          <w:sz w:val="21"/>
        </w:rPr>
        <w:t>En la pantalla principal, ESC debe realizar la misma acción que Cerrar. Si existe un panel de totalización, teclado, selector, mensaje o edición pendiente, debe cerrarse o cancelarse primero ese elemento.</w:t>
      </w:r>
    </w:p>
    <w:p>
      <w:pPr>
        <w:pStyle w:val="Heading2"/>
        <w:keepNext/>
      </w:pPr>
      <w:r>
        <w:t>5.12 Comprobación de una venta</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Artículos, cantidades y descuentos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IVA y totales coherentes.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o PDF legible.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histórico creado.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revisada cuando proceda.</w:t>
            </w:r>
          </w:p>
        </w:tc>
      </w:tr>
    </w:tbl>
    <w:p>
      <w:pPr>
        <w:spacing w:after="40"/>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Módulo</w:t>
            </w:r>
          </w:p>
        </w:tc>
        <w:tc>
          <w:tcPr>
            <w:tcW w:type="dxa" w:w="1984"/>
            <w:shd w:fill="1F4E78"/>
            <w:vAlign w:val="center"/>
          </w:tcPr>
          <w:p>
            <w:r>
              <w:rPr>
                <w:rFonts w:ascii="Carlito" w:hAnsi="Carlito" w:eastAsia="Carlito"/>
                <w:b/>
                <w:color w:val="FFFFFF"/>
                <w:sz w:val="18"/>
              </w:rPr>
              <w:t>Atajo</w:t>
            </w:r>
          </w:p>
        </w:tc>
        <w:tc>
          <w:tcPr>
            <w:tcW w:type="dxa" w:w="4989"/>
            <w:shd w:fill="1F4E78"/>
            <w:vAlign w:val="center"/>
          </w:tcPr>
          <w:p>
            <w:r>
              <w:rPr>
                <w:rFonts w:ascii="Carlito" w:hAnsi="Carlito" w:eastAsia="Carlito"/>
                <w:b/>
                <w:color w:val="FFFFFF"/>
                <w:sz w:val="18"/>
              </w:rPr>
              <w:t>Acción</w:t>
            </w:r>
          </w:p>
        </w:tc>
      </w:tr>
      <w:tr>
        <w:trPr>
          <w:cantSplit/>
        </w:trPr>
        <w:tc>
          <w:tcPr>
            <w:tcW w:type="dxa" w:w="2381"/>
            <w:vAlign w:val="center"/>
          </w:tcPr>
          <w:p>
            <w:r>
              <w:rPr>
                <w:rFonts w:ascii="Carlito" w:hAnsi="Carlito" w:eastAsia="Carlito"/>
                <w:sz w:val="18"/>
              </w:rPr>
              <w:t>General</w:t>
            </w:r>
          </w:p>
        </w:tc>
        <w:tc>
          <w:tcPr>
            <w:tcW w:type="dxa" w:w="1984"/>
            <w:vAlign w:val="center"/>
          </w:tcPr>
          <w:p>
            <w:r>
              <w:rPr>
                <w:rFonts w:ascii="Carlito" w:hAnsi="Carlito" w:eastAsia="Carlito"/>
                <w:sz w:val="18"/>
              </w:rPr>
              <w:t>ESC</w:t>
            </w:r>
          </w:p>
        </w:tc>
        <w:tc>
          <w:tcPr>
            <w:tcW w:type="dxa" w:w="4989"/>
            <w:vAlign w:val="center"/>
          </w:tcPr>
          <w:p>
            <w:r>
              <w:rPr>
                <w:rFonts w:ascii="Carlito" w:hAnsi="Carlito" w:eastAsia="Carlito"/>
                <w:sz w:val="18"/>
              </w:rPr>
              <w:t>Cerrar página principal o cancelar primero el elemento auxiliar.</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O</w:t>
            </w:r>
          </w:p>
        </w:tc>
        <w:tc>
          <w:tcPr>
            <w:tcW w:type="dxa" w:w="4989"/>
            <w:shd w:fill="F2F2F2"/>
            <w:vAlign w:val="center"/>
          </w:tcPr>
          <w:p>
            <w:r>
              <w:rPr>
                <w:rFonts w:ascii="Carlito" w:hAnsi="Carlito" w:eastAsia="Carlito"/>
                <w:sz w:val="18"/>
              </w:rPr>
              <w:t>Código de cliente.</w:t>
            </w:r>
          </w:p>
        </w:tc>
      </w:tr>
      <w:tr>
        <w:trPr>
          <w:cantSplit/>
        </w:trPr>
        <w:tc>
          <w:tcPr>
            <w:tcW w:type="dxa" w:w="2381"/>
            <w:vAlign w:val="center"/>
          </w:tcPr>
          <w:p>
            <w:r>
              <w:rPr>
                <w:rFonts w:ascii="Carlito" w:hAnsi="Carlito" w:eastAsia="Carlito"/>
                <w:sz w:val="18"/>
              </w:rPr>
              <w:t>Ventas</w:t>
            </w:r>
          </w:p>
        </w:tc>
        <w:tc>
          <w:tcPr>
            <w:tcW w:type="dxa" w:w="1984"/>
            <w:vAlign w:val="center"/>
          </w:tcPr>
          <w:p>
            <w:r>
              <w:rPr>
                <w:rFonts w:ascii="Carlito" w:hAnsi="Carlito" w:eastAsia="Carlito"/>
                <w:sz w:val="18"/>
              </w:rPr>
              <w:t>Ctrl + U</w:t>
            </w:r>
          </w:p>
        </w:tc>
        <w:tc>
          <w:tcPr>
            <w:tcW w:type="dxa" w:w="4989"/>
            <w:vAlign w:val="center"/>
          </w:tcPr>
          <w:p>
            <w:r>
              <w:rPr>
                <w:rFonts w:ascii="Carlito" w:hAnsi="Carlito" w:eastAsia="Carlito"/>
                <w:sz w:val="18"/>
              </w:rPr>
              <w:t>Nombre de cliente.</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N</w:t>
            </w:r>
          </w:p>
        </w:tc>
        <w:tc>
          <w:tcPr>
            <w:tcW w:type="dxa" w:w="4989"/>
            <w:shd w:fill="F2F2F2"/>
            <w:vAlign w:val="center"/>
          </w:tcPr>
          <w:p>
            <w:r>
              <w:rPr>
                <w:rFonts w:ascii="Carlito" w:hAnsi="Carlito" w:eastAsia="Carlito"/>
                <w:sz w:val="18"/>
              </w:rPr>
              <w:t>Cliente nuevo / función asociada según revisión estable.</w:t>
            </w:r>
          </w:p>
        </w:tc>
      </w:tr>
      <w:tr>
        <w:trPr>
          <w:cantSplit/>
        </w:trPr>
        <w:tc>
          <w:tcPr>
            <w:tcW w:type="dxa" w:w="2381"/>
            <w:vAlign w:val="center"/>
          </w:tcPr>
          <w:p>
            <w:r>
              <w:rPr>
                <w:rFonts w:ascii="Carlito" w:hAnsi="Carlito" w:eastAsia="Carlito"/>
                <w:sz w:val="18"/>
              </w:rPr>
              <w:t>Formularios</w:t>
            </w:r>
          </w:p>
        </w:tc>
        <w:tc>
          <w:tcPr>
            <w:tcW w:type="dxa" w:w="1984"/>
            <w:vAlign w:val="center"/>
          </w:tcPr>
          <w:p>
            <w:r>
              <w:rPr>
                <w:rFonts w:ascii="Carlito" w:hAnsi="Carlito" w:eastAsia="Carlito"/>
                <w:sz w:val="18"/>
              </w:rPr>
              <w:t>TAB / Mayús+TAB</w:t>
            </w:r>
          </w:p>
        </w:tc>
        <w:tc>
          <w:tcPr>
            <w:tcW w:type="dxa" w:w="4989"/>
            <w:vAlign w:val="center"/>
          </w:tcPr>
          <w:p>
            <w:r>
              <w:rPr>
                <w:rFonts w:ascii="Carlito" w:hAnsi="Carlito" w:eastAsia="Carlito"/>
                <w:sz w:val="18"/>
              </w:rPr>
              <w:t>Avanzar o retroceder por el orden de tabulación.</w:t>
            </w:r>
          </w:p>
        </w:tc>
      </w:tr>
      <w:tr>
        <w:trPr>
          <w:cantSplit/>
        </w:trPr>
        <w:tc>
          <w:tcPr>
            <w:tcW w:type="dxa" w:w="2381"/>
            <w:shd w:fill="F2F2F2"/>
            <w:vAlign w:val="center"/>
          </w:tcPr>
          <w:p>
            <w:r>
              <w:rPr>
                <w:rFonts w:ascii="Carlito" w:hAnsi="Carlito" w:eastAsia="Carlito"/>
                <w:sz w:val="18"/>
              </w:rPr>
              <w:t>LibreOffice</w:t>
            </w:r>
          </w:p>
        </w:tc>
        <w:tc>
          <w:tcPr>
            <w:tcW w:type="dxa" w:w="1984"/>
            <w:shd w:fill="F2F2F2"/>
            <w:vAlign w:val="center"/>
          </w:tcPr>
          <w:p>
            <w:r>
              <w:rPr>
                <w:rFonts w:ascii="Carlito" w:hAnsi="Carlito" w:eastAsia="Carlito"/>
                <w:sz w:val="18"/>
              </w:rPr>
              <w:t>F5</w:t>
            </w:r>
          </w:p>
        </w:tc>
        <w:tc>
          <w:tcPr>
            <w:tcW w:type="dxa" w:w="4989"/>
            <w:shd w:fill="F2F2F2"/>
            <w:vAlign w:val="center"/>
          </w:tcPr>
          <w:p>
            <w:r>
              <w:rPr>
                <w:rFonts w:ascii="Carlito" w:hAnsi="Carlito" w:eastAsia="Carlito"/>
                <w:sz w:val="18"/>
              </w:rP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rPr>
          <w:rFonts w:ascii="Carlito" w:hAnsi="Carlito" w:eastAsia="Carlito"/>
          <w:i w:val="0"/>
          <w:sz w:val="21"/>
        </w:rPr>
        <w:t>La edición v0.1 crea la estructura general y documenta el funcionamiento conocido. Las próximas revisiones deben incorporar capturas reales, recorridos paso a paso y casos prácticos completos.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rPr>
          <w:rFonts w:ascii="Carlito" w:hAnsi="Carlito" w:eastAsia="Carlito"/>
          <w:b/>
          <w:color w:val="1F4E78"/>
          <w:sz w:val="22"/>
        </w:rPr>
        <w:t>Fin de la edición v0.1 - Base funcional</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rPr>
              <w:rFonts w:ascii="Carlito" w:hAnsi="Carlito" w:eastAsia="Carlito"/>
              <w:color w:val="666666"/>
              <w:sz w:val="16"/>
            </w:rPr>
            <w:t>Edición v0.1 - Base funcional - 24/07/2026</w:t>
          </w:r>
        </w:p>
      </w:tc>
      <w:tc>
        <w:tcPr>
          <w:tcW w:type="dxa" w:w="4677"/>
          <w:tcBorders>
            <w:top w:val="single" w:sz="4" w:color="B4C6E7"/>
          </w:tcBorders>
        </w:tcPr>
        <w:p>
          <w:pPr>
            <w:jc w:val="right"/>
          </w:pPr>
          <w:r>
            <w:rPr>
              <w:rFonts w:ascii="Carlito" w:hAnsi="Carlito" w:eastAsia="Carlito"/>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dc:title>
  <dc:subject>Guía práctica de uso, configuración, administración y solución de problemas</dc:subject>
  <dc:creator>FacturLinEx</dc:creator>
  <cp:keywords>FacturLinEx, manual, TPV, facturación, configuración, VeriFactu</cp:keywords>
  <dc:description>Edición v0.1 - Documento vivo</dc:description>
  <cp:lastModifiedBy/>
  <cp:revision>1</cp:revision>
  <dcterms:created xsi:type="dcterms:W3CDTF">2013-12-23T23:15:00Z</dcterms:created>
  <dcterms:modified xsi:type="dcterms:W3CDTF">2013-12-23T23:15:00Z</dcterms:modified>
  <cp:category/>
</cp:coreProperties>
</file>