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blHeader w:val="true"/>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rPr>
          <w:b/>
          <w:color w:val="FFFFFF"/>
          <w:sz w:val="36"/>
        </w:rPr>
        <w:t>EDICIÓN v0.6</w:t>
      </w:r>
    </w:p>
    <w:p>
      <w:pPr>
        <w:jc w:val="center"/>
      </w:pPr>
      <w:r>
        <w:t>Edición ilustrada - Artículos, familias y tarifas</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DDEBF7"/>
          </w:tcPr>
          <w:p>
            <w:r>
              <w:rPr>
                <w:rFonts w:ascii="Carlito" w:hAnsi="Carlito" w:eastAsia="Carlito"/>
                <w:b/>
                <w:color w:val="17365D"/>
                <w:sz w:val="19"/>
              </w:rPr>
              <w:t>Fecha de edición</w:t>
            </w:r>
          </w:p>
        </w:tc>
        <w:tc>
          <w:tcPr>
            <w:tcW w:type="dxa" w:w="4929"/>
          </w:tcPr>
          <w:p>
            <w:r>
              <w:t>25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t>Este manual reúne el funcionamiento conocido y validado de FacturLinEx, junto con procedimientos provisionales que todavía pueden evolucionar. La edición v0.6 amplía e ilustra el capítulo de Artículos, familias y tarifas: ficha general, costes, tarifas, códigos auxiliares/EAN, sistema de puntos, actualización masiva de precios y control de existencias.</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blHeader w:val="true"/>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rPr>
          <w:cantSplit/>
        </w:trP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r>
        <w:trPr>
          <w:cantSplit/>
        </w:trPr>
        <w:tc>
          <w:tcPr>
            <w:tcW w:type="dxa" w:w="2465"/>
            <w:tcMar>
              <w:top w:w="90" w:type="dxa"/>
              <w:start w:w="100" w:type="dxa"/>
              <w:bottom w:w="90" w:type="dxa"/>
              <w:end w:w="100" w:type="dxa"/>
            </w:tcMar>
          </w:tcPr>
          <w:p>
            <w:r>
              <w:t>0.3</w:t>
            </w:r>
          </w:p>
        </w:tc>
        <w:tc>
          <w:tcPr>
            <w:tcW w:type="dxa" w:w="2465"/>
            <w:tcMar>
              <w:top w:w="90" w:type="dxa"/>
              <w:start w:w="100" w:type="dxa"/>
              <w:bottom w:w="90" w:type="dxa"/>
              <w:end w:w="100" w:type="dxa"/>
            </w:tcMar>
          </w:tcPr>
          <w:p>
            <w:r>
              <w:t>24/07/2026</w:t>
            </w:r>
          </w:p>
        </w:tc>
        <w:tc>
          <w:tcPr>
            <w:tcW w:type="dxa" w:w="2465"/>
            <w:tcMar>
              <w:top w:w="90" w:type="dxa"/>
              <w:start w:w="100" w:type="dxa"/>
              <w:bottom w:w="90" w:type="dxa"/>
              <w:end w:w="100" w:type="dxa"/>
            </w:tcMar>
          </w:tcPr>
          <w:p>
            <w:r>
              <w:t>Capítulo 1 ampliado e ilustrado con captura real del Menú principal, pestañas, módulos, accesos rápidos y barra de estado. Mantiene el capítulo 5 de Ventas ilustrado.</w:t>
            </w:r>
          </w:p>
        </w:tc>
        <w:tc>
          <w:tcPr>
            <w:tcW w:type="dxa" w:w="2465"/>
            <w:tcMar>
              <w:top w:w="90" w:type="dxa"/>
              <w:start w:w="100" w:type="dxa"/>
              <w:bottom w:w="90" w:type="dxa"/>
              <w:end w:w="100" w:type="dxa"/>
            </w:tcMar>
          </w:tcPr>
          <w:p>
            <w:r>
              <w:t>Edición ilustrada parcial</w:t>
            </w:r>
          </w:p>
        </w:tc>
      </w:tr>
      <w:tr>
        <w:trPr>
          <w:cantSplit/>
        </w:trPr>
        <w:tc>
          <w:tcPr>
            <w:tcW w:type="dxa" w:w="2465"/>
            <w:tcMar>
              <w:top w:w="80" w:type="dxa"/>
              <w:start w:w="100" w:type="dxa"/>
              <w:bottom w:w="80" w:type="dxa"/>
              <w:end w:w="100" w:type="dxa"/>
            </w:tcMar>
            <w:shd w:fill="EEF5F7"/>
          </w:tcPr>
          <w:p>
            <w:r>
              <w:t>0.3.1</w:t>
            </w:r>
          </w:p>
        </w:tc>
        <w:tc>
          <w:tcPr>
            <w:tcW w:type="dxa" w:w="2465"/>
            <w:tcMar>
              <w:top w:w="80" w:type="dxa"/>
              <w:start w:w="100" w:type="dxa"/>
              <w:bottom w:w="80" w:type="dxa"/>
              <w:end w:w="100" w:type="dxa"/>
            </w:tcMar>
            <w:shd w:fill="EEF5F7"/>
          </w:tcPr>
          <w:p>
            <w:r>
              <w:t>25/07/2026</w:t>
            </w:r>
          </w:p>
        </w:tc>
        <w:tc>
          <w:tcPr>
            <w:tcW w:type="dxa" w:w="2465"/>
            <w:tcMar>
              <w:top w:w="80" w:type="dxa"/>
              <w:start w:w="100" w:type="dxa"/>
              <w:bottom w:w="80" w:type="dxa"/>
              <w:end w:w="100" w:type="dxa"/>
            </w:tcMar>
            <w:shd w:fill="EEF5F7"/>
          </w:tcPr>
          <w:p>
            <w:r>
              <w:t>Corrección visual del Menú con reconstrucción documental basada en la versión moderna actual. Ventas actualizadas con acceso Históricos, totalización simplificada y F1-F4 para ventas aparcadas.</w:t>
            </w:r>
          </w:p>
        </w:tc>
        <w:tc>
          <w:tcPr>
            <w:tcW w:type="dxa" w:w="2465"/>
            <w:tcMar>
              <w:top w:w="80" w:type="dxa"/>
              <w:start w:w="100" w:type="dxa"/>
              <w:bottom w:w="80" w:type="dxa"/>
              <w:end w:w="100" w:type="dxa"/>
            </w:tcMar>
            <w:shd w:fill="EEF5F7"/>
          </w:tcPr>
          <w:p>
            <w:r>
              <w:t>Corrección funcional y visual</w:t>
            </w:r>
          </w:p>
        </w:tc>
      </w:tr>
      <w:tr>
        <w:trPr>
          <w:cantSplit/>
        </w:trPr>
        <w:tc>
          <w:tcPr>
            <w:tcW w:type="dxa" w:w="2465"/>
            <w:tcPr>
              <w:tcW w:type="dxa" w:w="2465"/>
              <w:tcMar>
                <w:top w:w="80" w:type="dxa"/>
                <w:start w:w="100" w:type="dxa"/>
                <w:bottom w:w="80" w:type="dxa"/>
                <w:end w:w="100" w:type="dxa"/>
              </w:tcMar>
              <w:shd w:fill="EEF5F7"/>
            </w:tcPr>
          </w:tcPr>
          <w:p>
            <w:pPr>
              <w:pStyle w:val="BodyText"/>
            </w:pPr>
            <w:r>
              <w:t>0.4</w:t>
            </w:r>
          </w:p>
        </w:tc>
        <w:tc>
          <w:tcPr>
            <w:tcW w:type="dxa" w:w="2465"/>
            <w:tcPr>
              <w:tcW w:type="dxa" w:w="2465"/>
              <w:tcMar>
                <w:top w:w="80" w:type="dxa"/>
                <w:start w:w="100" w:type="dxa"/>
                <w:bottom w:w="80" w:type="dxa"/>
                <w:end w:w="100" w:type="dxa"/>
              </w:tcMar>
              <w:shd w:fill="EEF5F7"/>
            </w:tcPr>
          </w:tcPr>
          <w:p>
            <w:pPr>
              <w:pStyle w:val="BodyText"/>
            </w:pPr>
            <w:r>
              <w:t>25/07/2026</w:t>
            </w:r>
          </w:p>
        </w:tc>
        <w:tc>
          <w:tcPr>
            <w:tcW w:type="dxa" w:w="2465"/>
            <w:tcPr>
              <w:tcW w:type="dxa" w:w="2465"/>
              <w:tcMar>
                <w:top w:w="80" w:type="dxa"/>
                <w:start w:w="100" w:type="dxa"/>
                <w:bottom w:w="80" w:type="dxa"/>
                <w:end w:w="100" w:type="dxa"/>
              </w:tcMar>
              <w:shd w:fill="EEF5F7"/>
            </w:tcPr>
          </w:tcPr>
          <w:p>
            <w:pPr>
              <w:pStyle w:val="BodyText"/>
            </w:pPr>
            <w:r>
              <w:t>Capítulo 2 ampliado e ilustrado con capturas reales anonimizadas de conexiones, SMTP, impresión, QR, entorno, VeriFactu y sistema de puntos.</w:t>
            </w:r>
          </w:p>
        </w:tc>
        <w:tc>
          <w:tcPr>
            <w:tcW w:type="dxa" w:w="2465"/>
            <w:tcPr>
              <w:tcW w:type="dxa" w:w="2465"/>
              <w:tcMar>
                <w:top w:w="80" w:type="dxa"/>
                <w:start w:w="100" w:type="dxa"/>
                <w:bottom w:w="80" w:type="dxa"/>
                <w:end w:w="100" w:type="dxa"/>
              </w:tcMar>
              <w:shd w:fill="EEF5F7"/>
            </w:tcPr>
          </w:tcPr>
          <w:p>
            <w:pPr>
              <w:pStyle w:val="BodyText"/>
            </w:pPr>
            <w:r>
              <w:t>Edición ilustrada parcial</w:t>
            </w:r>
          </w:p>
        </w:tc>
      </w:tr>
      <w:tr>
        <w:tc>
          <w:tcPr>
            <w:tcW w:type="dxa" w:w="2465"/>
          </w:tcPr>
          <w:p>
            <w:r>
              <w:rPr>
                <w:sz w:val="16"/>
              </w:rPr>
              <w:t>0.5</w:t>
            </w:r>
          </w:p>
        </w:tc>
        <w:tc>
          <w:tcPr>
            <w:tcW w:type="dxa" w:w="2465"/>
          </w:tcPr>
          <w:p>
            <w:r>
              <w:rPr>
                <w:sz w:val="16"/>
              </w:rPr>
              <w:t>25/07/2026</w:t>
            </w:r>
          </w:p>
        </w:tc>
        <w:tc>
          <w:tcPr>
            <w:tcW w:type="dxa" w:w="2465"/>
          </w:tcPr>
          <w:p>
            <w:r>
              <w:rPr>
                <w:sz w:val="16"/>
              </w:rPr>
              <w:t>Capítulo 3 de Clientes ampliado e ilustrado con capturas reales numeradas: ficha general, facturación, rutas, opciones comerciales, puntos, NIF y precio de coste.</w:t>
            </w:r>
          </w:p>
        </w:tc>
        <w:tc>
          <w:tcPr>
            <w:tcW w:type="dxa" w:w="2465"/>
          </w:tcPr>
          <w:p>
            <w:r>
              <w:rPr>
                <w:sz w:val="16"/>
              </w:rPr>
              <w:t>Edición ilustrada parcial</w:t>
            </w:r>
          </w:p>
        </w:tc>
      </w:tr>
      <w:tr>
        <w:tc>
          <w:tcPr>
            <w:tcW w:type="dxa" w:w="2465"/>
            <w:shd w:fill="EEF5F7"/>
          </w:tcPr>
          <w:p>
            <w:r>
              <w:rPr>
                <w:sz w:val="16"/>
              </w:rPr>
              <w:t>0.6</w:t>
            </w:r>
          </w:p>
        </w:tc>
        <w:tc>
          <w:tcPr>
            <w:tcW w:type="dxa" w:w="2465"/>
            <w:shd w:fill="EEF5F7"/>
          </w:tcPr>
          <w:p>
            <w:r>
              <w:rPr>
                <w:sz w:val="16"/>
              </w:rPr>
              <w:t>25/07/2026</w:t>
            </w:r>
          </w:p>
        </w:tc>
        <w:tc>
          <w:tcPr>
            <w:tcW w:type="dxa" w:w="2465"/>
            <w:shd w:fill="EEF5F7"/>
          </w:tcPr>
          <w:p>
            <w:r>
              <w:rPr>
                <w:sz w:val="16"/>
              </w:rPr>
              <w:t>Capítulo 4 ampliado e ilustrado con reconstrucciones documentales de la versión moderna v5 y capturas reales compatibles de tarifas y stock, todas con zonas numeradas visibles.</w:t>
            </w:r>
          </w:p>
        </w:tc>
        <w:tc>
          <w:tcPr>
            <w:tcW w:type="dxa" w:w="2465"/>
            <w:shd w:fill="EEF5F7"/>
          </w:tcPr>
          <w:p>
            <w:r>
              <w:rPr>
                <w:sz w:val="16"/>
              </w:rPr>
              <w:t>Edición ilustrada parcial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blHeader w:val="true"/>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E8F4EC"/>
            <w:vAlign w:val="center"/>
            <w:tcBorders>
              <w:top w:val="single" w:sz="4" w:color="666666"/>
              <w:left w:val="single" w:sz="4" w:color="666666"/>
              <w:bottom w:val="single" w:sz="4" w:color="666666"/>
              <w:right w:val="single" w:sz="4" w:color="666666"/>
            </w:tcBorders>
          </w:tcPr>
          <w:p>
            <w:r>
              <w:t>ESTADO: Capítulo corregido con una reconstrucción documental basada en el código del menú moderno actual. La imagen reproduce su estructura, cabecera, tarjetas, panel lateral, accesos rápidos y personalización, pero no se presenta como captura directa de ejecución.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pPr>
      <w:r>
        <w:t>El menú principal moderno funciona como un centro de trabajo. Una cabecera identifica la aplicación y el contexto activo; las pestañas agrupan las áreas; los módulos se muestran como tarjetas con título y descripción; y un panel lateral conserva la identidad visual y los accesos rápidos.</w:t>
      </w:r>
    </w:p>
    <w:p>
      <w:pPr>
        <w:pStyle w:val="BodyText"/>
      </w:pPr>
      <w:r>
        <w:t>Las siguientes figuras son reconstrucciones documentales elaboradas a partir de la versión actual de menu.pas y menu.lfm. Se utilizan para explicar con precisión la distribución y el funcionamiento sin atribuirles la condición de captura directa del programa en ejecución.</w:t>
      </w:r>
    </w:p>
    <w:p>
      <w:pPr>
        <w:jc w:val="center"/>
      </w:pPr>
      <w:r>
        <w:drawing>
          <wp:inline xmlns:a="http://schemas.openxmlformats.org/drawingml/2006/main" xmlns:pic="http://schemas.openxmlformats.org/drawingml/2006/picture">
            <wp:extent cx="6080760" cy="3420428"/>
            <wp:docPr id="9" name="Picture 9" descr="Reconstrucción documental del menú moderno actual de FacturLinEx" title="Reconstrucción documental del menú moderno actual de FacturLinEx"/>
            <wp:cNvGraphicFramePr>
              <a:graphicFrameLocks noChangeAspect="1"/>
            </wp:cNvGraphicFramePr>
            <a:graphic>
              <a:graphicData uri="http://schemas.openxmlformats.org/drawingml/2006/picture">
                <pic:pic>
                  <pic:nvPicPr>
                    <pic:cNvPr id="0" name="01_menu_moderno_actual.png"/>
                    <pic:cNvPicPr/>
                  </pic:nvPicPr>
                  <pic:blipFill>
                    <a:blip r:embed="rId25"/>
                    <a:stretch>
                      <a:fillRect/>
                    </a:stretch>
                  </pic:blipFill>
                  <pic:spPr>
                    <a:xfrm>
                      <a:off x="0" y="0"/>
                      <a:ext cx="6080760" cy="3420428"/>
                    </a:xfrm>
                    <a:prstGeom prst="rect"/>
                  </pic:spPr>
                </pic:pic>
              </a:graphicData>
            </a:graphic>
          </wp:inline>
        </w:drawing>
      </w:r>
    </w:p>
    <w:p>
      <w:pPr>
        <w:pStyle w:val="BodyText"/>
        <w:jc w:val="center"/>
      </w:pPr>
      <w:r>
        <w:rPr>
          <w:i/>
          <w:color w:val="464E5A"/>
          <w:sz w:val="18"/>
        </w:rPr>
        <w:t>Figura 1.1. Reconstrucción documental del Menú principal moderno basada en la versión actual.</w:t>
      </w:r>
    </w:p>
    <w:p>
      <w:pPr>
        <w:pStyle w:val="Heading3"/>
      </w:pPr>
      <w:r>
        <w:t>1.3.1 Zonas del menú moderno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Zona</w:t>
            </w:r>
          </w:p>
        </w:tc>
        <w:tc>
          <w:tcPr>
            <w:tcW w:type="dxa" w:w="7056"/>
            <w:vAlign w:val="center"/>
            <w:tcMar>
              <w:top w:w="80" w:type="dxa"/>
              <w:start w:w="100" w:type="dxa"/>
              <w:bottom w:w="80" w:type="dxa"/>
              <w:end w:w="100" w:type="dxa"/>
            </w:tcMar>
            <w:shd w:fill="15586A"/>
          </w:tcPr>
          <w:p>
            <w:r>
              <w:rPr>
                <w:b/>
                <w:color w:val="FFFFFF"/>
              </w:rPr>
              <w:t>Contenido y uso</w:t>
            </w:r>
          </w:p>
        </w:tc>
      </w:tr>
      <w:tr>
        <w:trPr>
          <w:cantSplit/>
        </w:trPr>
        <w:tc>
          <w:tcPr>
            <w:tcW w:type="dxa" w:w="2088"/>
            <w:vAlign w:val="center"/>
            <w:tcMar>
              <w:top w:w="80" w:type="dxa"/>
              <w:start w:w="100" w:type="dxa"/>
              <w:bottom w:w="80" w:type="dxa"/>
              <w:end w:w="100" w:type="dxa"/>
            </w:tcMar>
          </w:tcPr>
          <w:p>
            <w:r>
              <w:t>Cabecera y contexto</w:t>
            </w:r>
          </w:p>
        </w:tc>
        <w:tc>
          <w:tcPr>
            <w:tcW w:type="dxa" w:w="7056"/>
            <w:vAlign w:val="center"/>
            <w:tcMar>
              <w:top w:w="80" w:type="dxa"/>
              <w:start w:w="100" w:type="dxa"/>
              <w:bottom w:w="80" w:type="dxa"/>
              <w:end w:w="100" w:type="dxa"/>
            </w:tcMar>
          </w:tcPr>
          <w:p>
            <w:r>
              <w:t>Muestra el nombre de FacturLinEx y los datos activos de tienda, puesto y usuario.</w:t>
            </w:r>
          </w:p>
        </w:tc>
      </w:tr>
      <w:tr>
        <w:trPr>
          <w:cantSplit/>
        </w:trPr>
        <w:tc>
          <w:tcPr>
            <w:tcW w:type="dxa" w:w="2088"/>
            <w:vAlign w:val="center"/>
            <w:tcMar>
              <w:top w:w="80" w:type="dxa"/>
              <w:start w:w="100" w:type="dxa"/>
              <w:bottom w:w="80" w:type="dxa"/>
              <w:end w:w="100" w:type="dxa"/>
            </w:tcMar>
            <w:shd w:fill="EEF5F7"/>
          </w:tcPr>
          <w:p>
            <w:r>
              <w:t>Pestañas</w:t>
            </w:r>
          </w:p>
        </w:tc>
        <w:tc>
          <w:tcPr>
            <w:tcW w:type="dxa" w:w="7056"/>
            <w:vAlign w:val="center"/>
            <w:tcMar>
              <w:top w:w="80" w:type="dxa"/>
              <w:start w:w="100" w:type="dxa"/>
              <w:bottom w:w="80" w:type="dxa"/>
              <w:end w:w="100" w:type="dxa"/>
            </w:tcMar>
            <w:shd w:fill="EEF5F7"/>
          </w:tcPr>
          <w:p>
            <w:r>
              <w:t>Agrupan los módulos por área. La pestaña seleccionada queda visualmente diferenciada.</w:t>
            </w:r>
          </w:p>
        </w:tc>
      </w:tr>
      <w:tr>
        <w:trPr>
          <w:cantSplit/>
        </w:trPr>
        <w:tc>
          <w:tcPr>
            <w:tcW w:type="dxa" w:w="2088"/>
            <w:vAlign w:val="center"/>
            <w:tcMar>
              <w:top w:w="80" w:type="dxa"/>
              <w:start w:w="100" w:type="dxa"/>
              <w:bottom w:w="80" w:type="dxa"/>
              <w:end w:w="100" w:type="dxa"/>
            </w:tcMar>
          </w:tcPr>
          <w:p>
            <w:r>
              <w:t>Tarjetas de módulos</w:t>
            </w:r>
          </w:p>
        </w:tc>
        <w:tc>
          <w:tcPr>
            <w:tcW w:type="dxa" w:w="7056"/>
            <w:vAlign w:val="center"/>
            <w:tcMar>
              <w:top w:w="80" w:type="dxa"/>
              <w:start w:w="100" w:type="dxa"/>
              <w:bottom w:w="80" w:type="dxa"/>
              <w:end w:w="100" w:type="dxa"/>
            </w:tcMar>
          </w:tcPr>
          <w:p>
            <w:r>
              <w:t>Cada acceso combina icono, título y una descripción breve para reducir errores al elegir una función.</w:t>
            </w:r>
          </w:p>
        </w:tc>
      </w:tr>
      <w:tr>
        <w:trPr>
          <w:cantSplit/>
        </w:trPr>
        <w:tc>
          <w:tcPr>
            <w:tcW w:type="dxa" w:w="2088"/>
            <w:vAlign w:val="center"/>
            <w:tcMar>
              <w:top w:w="80" w:type="dxa"/>
              <w:start w:w="100" w:type="dxa"/>
              <w:bottom w:w="80" w:type="dxa"/>
              <w:end w:w="100" w:type="dxa"/>
            </w:tcMar>
            <w:shd w:fill="EEF5F7"/>
          </w:tcPr>
          <w:p>
            <w:r>
              <w:t>Panel lateral</w:t>
            </w:r>
          </w:p>
        </w:tc>
        <w:tc>
          <w:tcPr>
            <w:tcW w:type="dxa" w:w="7056"/>
            <w:vAlign w:val="center"/>
            <w:tcMar>
              <w:top w:w="80" w:type="dxa"/>
              <w:start w:w="100" w:type="dxa"/>
              <w:bottom w:w="80" w:type="dxa"/>
              <w:end w:w="100" w:type="dxa"/>
            </w:tcMar>
            <w:shd w:fill="EEF5F7"/>
          </w:tcPr>
          <w:p>
            <w:r>
              <w:t>Identifica la página actual, conserva la imagen del sistema y presenta accesos rápidos.</w:t>
            </w:r>
          </w:p>
        </w:tc>
      </w:tr>
      <w:tr>
        <w:trPr>
          <w:cantSplit/>
        </w:trPr>
        <w:tc>
          <w:tcPr>
            <w:tcW w:type="dxa" w:w="2088"/>
            <w:vAlign w:val="center"/>
            <w:tcMar>
              <w:top w:w="80" w:type="dxa"/>
              <w:start w:w="100" w:type="dxa"/>
              <w:bottom w:w="80" w:type="dxa"/>
              <w:end w:w="100" w:type="dxa"/>
            </w:tcMar>
          </w:tcPr>
          <w:p>
            <w:r>
              <w:t>Barra de estado</w:t>
            </w:r>
          </w:p>
        </w:tc>
        <w:tc>
          <w:tcPr>
            <w:tcW w:type="dxa" w:w="7056"/>
            <w:vAlign w:val="center"/>
            <w:tcMar>
              <w:top w:w="80" w:type="dxa"/>
              <w:start w:w="100" w:type="dxa"/>
              <w:bottom w:w="80" w:type="dxa"/>
              <w:end w:w="100" w:type="dxa"/>
            </w:tcMar>
          </w:tcPr>
          <w:p>
            <w:r>
              <w:t>Informa del entorno, la cola VeriFactu, la conexión de BBDD y el motor de tablas.</w:t>
            </w:r>
          </w:p>
        </w:tc>
      </w:tr>
    </w:tbl>
    <w:p>
      <w:pPr>
        <w:pStyle w:val="Heading3"/>
      </w:pPr>
      <w:r>
        <w:t>1.3.2 Pestañas, tarjetas y página activa</w:t>
      </w:r>
    </w:p>
    <w:p>
      <w:pPr>
        <w:jc w:val="center"/>
      </w:pPr>
      <w:r>
        <w:drawing>
          <wp:inline xmlns:a="http://schemas.openxmlformats.org/drawingml/2006/main" xmlns:pic="http://schemas.openxmlformats.org/drawingml/2006/picture">
            <wp:extent cx="5806440" cy="3311821"/>
            <wp:docPr id="10" name="Picture 10" descr="Detalle de pestañas y tarjetas del menú moderno" title="Detalle de pestañas y tarjetas del menú moderno"/>
            <wp:cNvGraphicFramePr>
              <a:graphicFrameLocks noChangeAspect="1"/>
            </wp:cNvGraphicFramePr>
            <a:graphic>
              <a:graphicData uri="http://schemas.openxmlformats.org/drawingml/2006/picture">
                <pic:pic>
                  <pic:nvPicPr>
                    <pic:cNvPr id="0" name="02_menu_pestanas_tarjetas.png"/>
                    <pic:cNvPicPr/>
                  </pic:nvPicPr>
                  <pic:blipFill>
                    <a:blip r:embed="rId26"/>
                    <a:stretch>
                      <a:fillRect/>
                    </a:stretch>
                  </pic:blipFill>
                  <pic:spPr>
                    <a:xfrm>
                      <a:off x="0" y="0"/>
                      <a:ext cx="5806440" cy="3311821"/>
                    </a:xfrm>
                    <a:prstGeom prst="rect"/>
                  </pic:spPr>
                </pic:pic>
              </a:graphicData>
            </a:graphic>
          </wp:inline>
        </w:drawing>
      </w:r>
    </w:p>
    <w:p>
      <w:pPr>
        <w:pStyle w:val="BodyText"/>
        <w:jc w:val="center"/>
      </w:pPr>
      <w:r>
        <w:rPr>
          <w:i/>
          <w:color w:val="464E5A"/>
          <w:sz w:val="18"/>
        </w:rPr>
        <w:t>Figura 1.2. Detalle de pestañas y tarjetas del menú moderno.</w:t>
      </w:r>
    </w:p>
    <w:p>
      <w:pPr>
        <w:pStyle w:val="BodyText"/>
      </w:pPr>
      <w:r>
        <w:t>Seleccione primero el área de trabajo y después la tarjeta del módulo. La tarjeta debe indicar claramente qué formulario se abrirá. El título de la página activa y su texto de ayuda sirven como confirmación adicional antes de entrar.</w:t>
      </w:r>
    </w:p>
    <w:p>
      <w:pPr>
        <w:pStyle w:val="BodyText"/>
      </w:pPr>
      <w:r>
        <w:t>1. Compruebe tienda, puesto y usuario en la cabecera.</w:t>
      </w:r>
    </w:p>
    <w:p>
      <w:pPr>
        <w:pStyle w:val="BodyText"/>
      </w:pPr>
      <w:r>
        <w:t>2. Seleccione la pestaña correspondiente a la tarea.</w:t>
      </w:r>
    </w:p>
    <w:p>
      <w:pPr>
        <w:pStyle w:val="BodyText"/>
      </w:pPr>
      <w:r>
        <w:t>3. Lea el título y la descripción de la tarjeta.</w:t>
      </w:r>
    </w:p>
    <w:p>
      <w:pPr>
        <w:pStyle w:val="BodyText"/>
      </w:pPr>
      <w:r>
        <w:t>4. Abra el módulo con un solo clic y espere a que termine de cargar.</w:t>
      </w:r>
    </w:p>
    <w:p>
      <w:pPr>
        <w:pStyle w:val="BodyText"/>
      </w:pPr>
      <w:r>
        <w:t>5. Al cerrarlo, confirme que regresa al menú sin diálogos ocultos.</w:t>
      </w:r>
    </w:p>
    <w:p>
      <w:pPr>
        <w:pStyle w:val="Heading3"/>
      </w:pPr>
      <w:r>
        <w:t>1.3.3 Personalización del centro de trabajo</w:t>
      </w:r>
    </w:p>
    <w:p>
      <w:pPr>
        <w:jc w:val="center"/>
      </w:pPr>
      <w:r>
        <w:drawing>
          <wp:inline xmlns:a="http://schemas.openxmlformats.org/drawingml/2006/main" xmlns:pic="http://schemas.openxmlformats.org/drawingml/2006/picture">
            <wp:extent cx="5623560" cy="3133126"/>
            <wp:docPr id="11" name="Picture 11" descr="Reconstrucción del cuadro de personalización del menú moderno" title="Reconstrucción del cuadro de personalización del menú moderno"/>
            <wp:cNvGraphicFramePr>
              <a:graphicFrameLocks noChangeAspect="1"/>
            </wp:cNvGraphicFramePr>
            <a:graphic>
              <a:graphicData uri="http://schemas.openxmlformats.org/drawingml/2006/picture">
                <pic:pic>
                  <pic:nvPicPr>
                    <pic:cNvPr id="0" name="03_personalizar_menu.png"/>
                    <pic:cNvPicPr/>
                  </pic:nvPicPr>
                  <pic:blipFill>
                    <a:blip r:embed="rId27"/>
                    <a:stretch>
                      <a:fillRect/>
                    </a:stretch>
                  </pic:blipFill>
                  <pic:spPr>
                    <a:xfrm>
                      <a:off x="0" y="0"/>
                      <a:ext cx="5623560" cy="3133126"/>
                    </a:xfrm>
                    <a:prstGeom prst="rect"/>
                  </pic:spPr>
                </pic:pic>
              </a:graphicData>
            </a:graphic>
          </wp:inline>
        </w:drawing>
      </w:r>
    </w:p>
    <w:p>
      <w:pPr>
        <w:pStyle w:val="BodyText"/>
        <w:jc w:val="center"/>
      </w:pPr>
      <w:r>
        <w:rPr>
          <w:i/>
          <w:color w:val="464E5A"/>
          <w:sz w:val="18"/>
        </w:rPr>
        <w:t>Figura 1.3. Reconstrucción del cuadro Personalizar el centro de trabajo.</w:t>
      </w:r>
    </w:p>
    <w:p>
      <w:pPr>
        <w:pStyle w:val="BodyText"/>
      </w:pPr>
      <w:r>
        <w:t>La personalización permite reorganizar pestañas y accesos para adaptar el menú al trabajo real. Los cambios deben facilitar la localización de funciones, sin ocultar módulos necesarios ni alterar el circuito normal de cierre.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Elemento</w:t>
            </w:r>
          </w:p>
        </w:tc>
        <w:tc>
          <w:tcPr>
            <w:tcW w:type="dxa" w:w="7056"/>
            <w:vAlign w:val="center"/>
            <w:tcMar>
              <w:top w:w="80" w:type="dxa"/>
              <w:start w:w="100" w:type="dxa"/>
              <w:bottom w:w="80" w:type="dxa"/>
              <w:end w:w="100" w:type="dxa"/>
            </w:tcMar>
            <w:shd w:fill="15586A"/>
          </w:tcPr>
          <w:p>
            <w:r>
              <w:rPr>
                <w:b/>
                <w:color w:val="FFFFFF"/>
              </w:rPr>
              <w:t>Recomendación</w:t>
            </w:r>
          </w:p>
        </w:tc>
      </w:tr>
      <w:tr>
        <w:trPr>
          <w:cantSplit/>
        </w:trPr>
        <w:tc>
          <w:tcPr>
            <w:tcW w:type="dxa" w:w="2088"/>
            <w:vAlign w:val="center"/>
            <w:tcMar>
              <w:top w:w="80" w:type="dxa"/>
              <w:start w:w="100" w:type="dxa"/>
              <w:bottom w:w="80" w:type="dxa"/>
              <w:end w:w="100" w:type="dxa"/>
            </w:tcMar>
          </w:tcPr>
          <w:p>
            <w:r>
              <w:t>Orden de pestañas</w:t>
            </w:r>
          </w:p>
        </w:tc>
        <w:tc>
          <w:tcPr>
            <w:tcW w:type="dxa" w:w="7056"/>
            <w:vAlign w:val="center"/>
            <w:tcMar>
              <w:top w:w="80" w:type="dxa"/>
              <w:start w:w="100" w:type="dxa"/>
              <w:bottom w:w="80" w:type="dxa"/>
              <w:end w:w="100" w:type="dxa"/>
            </w:tcMar>
          </w:tcPr>
          <w:p>
            <w:r>
              <w:t>Coloque primero las áreas utilizadas con mayor frecuencia.</w:t>
            </w:r>
          </w:p>
        </w:tc>
      </w:tr>
      <w:tr>
        <w:trPr>
          <w:cantSplit/>
        </w:trPr>
        <w:tc>
          <w:tcPr>
            <w:tcW w:type="dxa" w:w="2088"/>
            <w:vAlign w:val="center"/>
            <w:tcMar>
              <w:top w:w="80" w:type="dxa"/>
              <w:start w:w="100" w:type="dxa"/>
              <w:bottom w:w="80" w:type="dxa"/>
              <w:end w:w="100" w:type="dxa"/>
            </w:tcMar>
            <w:shd w:fill="EEF5F7"/>
          </w:tcPr>
          <w:p>
            <w:r>
              <w:t>Orden de accesos</w:t>
            </w:r>
          </w:p>
        </w:tc>
        <w:tc>
          <w:tcPr>
            <w:tcW w:type="dxa" w:w="7056"/>
            <w:vAlign w:val="center"/>
            <w:tcMar>
              <w:top w:w="80" w:type="dxa"/>
              <w:start w:w="100" w:type="dxa"/>
              <w:bottom w:w="80" w:type="dxa"/>
              <w:end w:w="100" w:type="dxa"/>
            </w:tcMar>
            <w:shd w:fill="EEF5F7"/>
          </w:tcPr>
          <w:p>
            <w:r>
              <w:t>Mantenga juntos los módulos de un mismo proceso.</w:t>
            </w:r>
          </w:p>
        </w:tc>
      </w:tr>
      <w:tr>
        <w:trPr>
          <w:cantSplit/>
        </w:trPr>
        <w:tc>
          <w:tcPr>
            <w:tcW w:type="dxa" w:w="2088"/>
            <w:vAlign w:val="center"/>
            <w:tcMar>
              <w:top w:w="80" w:type="dxa"/>
              <w:start w:w="100" w:type="dxa"/>
              <w:bottom w:w="80" w:type="dxa"/>
              <w:end w:w="100" w:type="dxa"/>
            </w:tcMar>
          </w:tcPr>
          <w:p>
            <w:r>
              <w:t>Accesos rápidos</w:t>
            </w:r>
          </w:p>
        </w:tc>
        <w:tc>
          <w:tcPr>
            <w:tcW w:type="dxa" w:w="7056"/>
            <w:vAlign w:val="center"/>
            <w:tcMar>
              <w:top w:w="80" w:type="dxa"/>
              <w:start w:w="100" w:type="dxa"/>
              <w:bottom w:w="80" w:type="dxa"/>
              <w:end w:w="100" w:type="dxa"/>
            </w:tcMar>
          </w:tcPr>
          <w:p>
            <w:r>
              <w:t>Reserve esta zona para funciones realmente frecuentes, como Agenda o Pedidos.</w:t>
            </w:r>
          </w:p>
        </w:tc>
      </w:tr>
      <w:tr>
        <w:trPr>
          <w:cantSplit/>
        </w:trPr>
        <w:tc>
          <w:tcPr>
            <w:tcW w:type="dxa" w:w="2088"/>
            <w:vAlign w:val="center"/>
            <w:tcMar>
              <w:top w:w="80" w:type="dxa"/>
              <w:start w:w="100" w:type="dxa"/>
              <w:bottom w:w="80" w:type="dxa"/>
              <w:end w:w="100" w:type="dxa"/>
            </w:tcMar>
            <w:shd w:fill="EEF5F7"/>
          </w:tcPr>
          <w:p>
            <w:r>
              <w:t>Submenús</w:t>
            </w:r>
          </w:p>
        </w:tc>
        <w:tc>
          <w:tcPr>
            <w:tcW w:type="dxa" w:w="7056"/>
            <w:vAlign w:val="center"/>
            <w:tcMar>
              <w:top w:w="80" w:type="dxa"/>
              <w:start w:w="100" w:type="dxa"/>
              <w:bottom w:w="80" w:type="dxa"/>
              <w:end w:w="100" w:type="dxa"/>
            </w:tcMar>
            <w:shd w:fill="EEF5F7"/>
          </w:tcPr>
          <w:p>
            <w:r>
              <w:t>Conserve los desplegables previstos, como Copias de seguridad y Otros archivos.</w:t>
            </w:r>
          </w:p>
        </w:tc>
      </w:tr>
      <w:tr>
        <w:trPr>
          <w:cantSplit/>
        </w:trPr>
        <w:tc>
          <w:tcPr>
            <w:tcW w:type="dxa" w:w="2088"/>
            <w:vAlign w:val="center"/>
            <w:tcMar>
              <w:top w:w="80" w:type="dxa"/>
              <w:start w:w="100" w:type="dxa"/>
              <w:bottom w:w="80" w:type="dxa"/>
              <w:end w:w="100" w:type="dxa"/>
            </w:tcMar>
          </w:tcPr>
          <w:p>
            <w:r>
              <w:t>ESC</w:t>
            </w:r>
          </w:p>
        </w:tc>
        <w:tc>
          <w:tcPr>
            <w:tcW w:type="dxa" w:w="7056"/>
            <w:vAlign w:val="center"/>
            <w:tcMar>
              <w:top w:w="80" w:type="dxa"/>
              <w:start w:w="100" w:type="dxa"/>
              <w:bottom w:w="80" w:type="dxa"/>
              <w:end w:w="100" w:type="dxa"/>
            </w:tcMar>
          </w:tcPr>
          <w:p>
            <w:r>
              <w:t>En la página principal de un módulo debe equivaler a Cerrar; si hay un panel auxiliar o cambios pendientes, debe atenderlos primero.</w:t>
            </w:r>
          </w:p>
        </w:tc>
      </w:tr>
    </w:tbl>
    <w:p>
      <w:pPr>
        <w:pStyle w:val="Heading3"/>
      </w:pPr>
      <w:r>
        <w:t>1.3.4 Comprobaciones antes de abrir un módulo</w:t>
      </w:r>
    </w:p>
    <w:p>
      <w:pPr>
        <w:pStyle w:val="ListBullet"/>
      </w:pPr>
      <w:r>
        <w:t>La pestaña activa corresponde al área deseada.</w:t>
      </w:r>
    </w:p>
    <w:p>
      <w:pPr>
        <w:pStyle w:val="ListBullet"/>
      </w:pPr>
      <w:r>
        <w:t>La tarjeta describe exactamente la operación que se va a realizar.</w:t>
      </w:r>
    </w:p>
    <w:p>
      <w:pPr>
        <w:pStyle w:val="ListBullet"/>
      </w:pPr>
      <w:r>
        <w:t>Tienda, puesto y usuario son correctos.</w:t>
      </w:r>
    </w:p>
    <w:p>
      <w:pPr>
        <w:pStyle w:val="ListBullet"/>
      </w:pPr>
      <w:r>
        <w:t>La barra de estado indica el entorno y la BBDD esperados.</w:t>
      </w:r>
    </w:p>
    <w:p>
      <w:pPr>
        <w:pStyle w:val="ListBullet"/>
      </w:pPr>
      <w:r>
        <w:t>No existe otro formulario o diálogo oculto detrás del menú.</w:t>
      </w: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pPr>
        <w:pStyle w:val="Heading1"/>
      </w:pPr>
      <w:r>
        <w:t>2. Configuración inicial</w:t>
      </w:r>
    </w:p>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ESTADO: </w:t>
            </w:r>
            <w:r>
              <w:t>Capítulo ilustrado con capturas reales de la configuración modernizada v9 final. Los datos de servidor, correo y rutas personales se han anonimizado porque la versión web está pensada para publicación pública.</w:t>
            </w:r>
          </w:p>
        </w:tc>
      </w:tr>
    </w:tbl>
    <w:p>
      <w:pPr>
        <w:pStyle w:val="Heading2"/>
      </w:pPr>
      <w:r>
        <w:t>2.1 Orden recomendado de configuración</w:t>
      </w:r>
    </w:p>
    <w:p>
      <w:pPr>
        <w:pStyle w:val="ListNumber"/>
      </w:pPr>
      <w:r>
        <w:t>Comprobar la conexión con la base de datos principal.</w:t>
      </w:r>
    </w:p>
    <w:p>
      <w:pPr>
        <w:pStyle w:val="ListNumber"/>
      </w:pPr>
      <w:r>
        <w:t>Configurar empresa, tienda activa y puesto.</w:t>
      </w:r>
    </w:p>
    <w:p>
      <w:pPr>
        <w:pStyle w:val="ListNumber"/>
      </w:pPr>
      <w:r>
        <w:t>Revisar series, numeraciones y tipos de documento.</w:t>
      </w:r>
    </w:p>
    <w:p>
      <w:pPr>
        <w:pStyle w:val="ListNumber"/>
      </w:pPr>
      <w:r>
        <w:t>Configurar impresoras, plantillas y generación de PDF.</w:t>
      </w:r>
    </w:p>
    <w:p>
      <w:pPr>
        <w:pStyle w:val="ListNumber"/>
      </w:pPr>
      <w:r>
        <w:t>Configurar el correo electrónico y realizar una prueba de envío.</w:t>
      </w:r>
    </w:p>
    <w:p>
      <w:pPr>
        <w:pStyle w:val="ListNumber"/>
      </w:pPr>
      <w:r>
        <w:t>Revisar impuestos, entorno de producción y opciones de VeriFactu.</w:t>
      </w:r>
    </w:p>
    <w:p>
      <w:pPr>
        <w:pStyle w:val="ListNumber"/>
      </w:pPr>
      <w:r>
        <w:t>Configurar rutas de informes, recursos, iconos y copias de seguridad.</w:t>
      </w:r>
    </w:p>
    <w:p>
      <w:pPr>
        <w:pStyle w:val="ListNumber"/>
      </w:pPr>
      <w:r>
        <w:t>Crear o revisar usuarios, permisos y formas de pago.</w:t>
      </w:r>
    </w:p>
    <w:p>
      <w:pPr>
        <w:pStyle w:val="ListNumber"/>
      </w:pPr>
      <w:r>
        <w:t>Realizar una copia de seguridad y una venta completa de prueba.</w:t>
      </w:r>
    </w:p>
    <w:p>
      <w:pPr>
        <w:pStyle w:val="Heading2"/>
      </w:pPr>
      <w:r>
        <w:t>2.2 Pantalla general y acciones de configuración</w:t>
      </w:r>
    </w:p>
    <w:p>
      <w:pPr>
        <w:pStyle w:val="BodyText"/>
      </w:pPr>
      <w:r>
        <w:t>La ventana Configuración general de FacturLinEx reúne en pestañas los parámetros de empresa, conexión, actualizaciones, tickets y periféricos, impuestos, informes, aplicaciones externas, sistema de puntos y VeriFactu. La pestaña Conexiones permite comprobar en una sola pantalla la base principal, la tienda y el puesto activos, el sistema de información común y el envío SMTP.</w:t>
      </w:r>
    </w:p>
    <w:p>
      <w:pPr>
        <w:jc w:val="center"/>
      </w:pPr>
      <w:r>
        <w:drawing>
          <wp:inline xmlns:a="http://schemas.openxmlformats.org/drawingml/2006/main" xmlns:pic="http://schemas.openxmlformats.org/drawingml/2006/picture">
            <wp:extent cx="5832000" cy="3191324"/>
            <wp:docPr id="17" name="Picture 17" descr="Pantalla Conexiones de Configuración general, anotada por zonas y con datos sensibles anonimizados" title="Pantalla Conexiones de Configuración general, anotada por zo"/>
            <wp:cNvGraphicFramePr>
              <a:graphicFrameLocks noChangeAspect="1"/>
            </wp:cNvGraphicFramePr>
            <a:graphic>
              <a:graphicData uri="http://schemas.openxmlformats.org/drawingml/2006/picture">
                <pic:pic>
                  <pic:nvPicPr>
                    <pic:cNvPr id="0" name="01_conexiones_anotada_anonima.png"/>
                    <pic:cNvPicPr/>
                  </pic:nvPicPr>
                  <pic:blipFill>
                    <a:blip r:embed="rId32"/>
                    <a:stretch>
                      <a:fillRect/>
                    </a:stretch>
                  </pic:blipFill>
                  <pic:spPr>
                    <a:xfrm>
                      <a:off x="0" y="0"/>
                      <a:ext cx="5832000" cy="3191324"/>
                    </a:xfrm>
                    <a:prstGeom prst="rect"/>
                  </pic:spPr>
                </pic:pic>
              </a:graphicData>
            </a:graphic>
          </wp:inline>
        </w:drawing>
      </w:r>
    </w:p>
    <w:p>
      <w:pPr>
        <w:pStyle w:val="Caption"/>
        <w:jc w:val="center"/>
      </w:pPr>
      <w:r>
        <w:t>Figura 2.1. Pestaña Conexiones de la configuración general. Captura real con datos sensibles anonimizados.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Uso principal</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Base de datos principal</w:t>
            </w:r>
          </w:p>
        </w:tc>
        <w:tc>
          <w:tcPr>
            <w:tcW w:type="dxa" w:w="3286"/>
            <w:tcMar>
              <w:top w:w="80" w:type="dxa"/>
              <w:start w:w="100" w:type="dxa"/>
              <w:bottom w:w="80" w:type="dxa"/>
              <w:end w:w="100" w:type="dxa"/>
            </w:tcMar>
          </w:tcPr>
          <w:p>
            <w:pPr>
              <w:pStyle w:val="BodyText"/>
            </w:pPr>
            <w:r>
              <w:t>Servidor, usuario, clave, nombre de BBDD, puerto, protocolo, motor y prueba de conexión.</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Tienda activa y puesto</w:t>
            </w:r>
          </w:p>
        </w:tc>
        <w:tc>
          <w:tcPr>
            <w:tcW w:type="dxa" w:w="3286"/>
            <w:tcMar>
              <w:top w:w="80" w:type="dxa"/>
              <w:start w:w="100" w:type="dxa"/>
              <w:bottom w:w="80" w:type="dxa"/>
              <w:end w:w="100" w:type="dxa"/>
            </w:tcMar>
          </w:tcPr>
          <w:p>
            <w:pPr>
              <w:pStyle w:val="BodyText"/>
            </w:pPr>
            <w:r>
              <w:t>Selecciona la tienda de trabajo y el puesto que identificará ventas e históricos.</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Sistema de información común</w:t>
            </w:r>
          </w:p>
        </w:tc>
        <w:tc>
          <w:tcPr>
            <w:tcW w:type="dxa" w:w="3286"/>
            <w:tcMar>
              <w:top w:w="80" w:type="dxa"/>
              <w:start w:w="100" w:type="dxa"/>
              <w:bottom w:w="80" w:type="dxa"/>
              <w:end w:w="100" w:type="dxa"/>
            </w:tcMar>
          </w:tcPr>
          <w:p>
            <w:pPr>
              <w:pStyle w:val="BodyText"/>
            </w:pPr>
            <w:r>
              <w:t>Conexión opcional a una segunda base compartida. Solo debe activarse cuando la instalación la utilice.</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Correo electrónico (SMTP)</w:t>
            </w:r>
          </w:p>
        </w:tc>
        <w:tc>
          <w:tcPr>
            <w:tcW w:type="dxa" w:w="3286"/>
            <w:tcMar>
              <w:top w:w="80" w:type="dxa"/>
              <w:start w:w="100" w:type="dxa"/>
              <w:bottom w:w="80" w:type="dxa"/>
              <w:end w:w="100" w:type="dxa"/>
            </w:tcMar>
          </w:tcPr>
          <w:p>
            <w:pPr>
              <w:pStyle w:val="BodyText"/>
            </w:pPr>
            <w:r>
              <w:t>Cuenta de envío, copia, usuario, clave, servidor, puerto, SSL/TLS, asunto y mensaje predeterminado.</w:t>
            </w:r>
          </w:p>
        </w:tc>
      </w:tr>
      <w:tr>
        <w:trPr>
          <w:cantSplit/>
        </w:trPr>
        <w:tc>
          <w:tcPr>
            <w:tcW w:type="dxa" w:w="3286"/>
            <w:tcMar>
              <w:top w:w="80" w:type="dxa"/>
              <w:start w:w="100" w:type="dxa"/>
              <w:bottom w:w="80" w:type="dxa"/>
              <w:end w:w="100" w:type="dxa"/>
            </w:tcMar>
          </w:tcPr>
          <w:p>
            <w:pPr>
              <w:pStyle w:val="BodyText"/>
            </w:pPr>
            <w:r>
              <w:t>5</w:t>
            </w:r>
          </w:p>
        </w:tc>
        <w:tc>
          <w:tcPr>
            <w:tcW w:type="dxa" w:w="3286"/>
            <w:tcMar>
              <w:top w:w="80" w:type="dxa"/>
              <w:start w:w="100" w:type="dxa"/>
              <w:bottom w:w="80" w:type="dxa"/>
              <w:end w:w="100" w:type="dxa"/>
            </w:tcMar>
          </w:tcPr>
          <w:p>
            <w:pPr>
              <w:pStyle w:val="BodyText"/>
            </w:pPr>
            <w:r>
              <w:t>Acciones superiores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FLUJO RECOMENDADO: </w:t>
            </w:r>
            <w:r>
              <w:t>Modifique un bloque cada vez, pulse la prueba correspondiente, use Aplicar para comprobar el cambio en la sesión y Guardar cuando los valores hayan quedado verificados. Recuperar vuelve a cargar la configuración guardada; no debe utilizarse como sustituto de una copia de seguridad.</w:t>
            </w:r>
          </w:p>
        </w:tc>
      </w:tr>
    </w:tbl>
    <w:p>
      <w:pPr>
        <w:pStyle w:val="Heading2"/>
      </w:pPr>
      <w:r>
        <w:t>2.3 Conexiones, tienda, puesto y correo</w:t>
      </w:r>
    </w:p>
    <w:p>
      <w:pPr>
        <w:pStyle w:val="Heading3"/>
      </w:pPr>
      <w:r>
        <w:t>2.3.1 Base de datos principal</w:t>
      </w:r>
    </w:p>
    <w:p>
      <w:pPr>
        <w:pStyle w:val="BodyText"/>
      </w:pPr>
      <w:r>
        <w:t>Los parámetros deben coincidir con el servidor MariaDB que utiliza la instalación. Antes de guardar, pulse Test de conexión. Si la prueba falla, no cambie otros apartados hasta resolver servidor, red, puerto, credenciales o nombre de la base de datos.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664000" cy="1689130"/>
                  <wp:docPr id="18" name="Picture 18" descr="Figura 2.2. Base de datos principal y prueba de conexión."/>
                  <wp:cNvGraphicFramePr>
                    <a:graphicFrameLocks noChangeAspect="1"/>
                  </wp:cNvGraphicFramePr>
                  <a:graphic>
                    <a:graphicData uri="http://schemas.openxmlformats.org/drawingml/2006/picture">
                      <pic:pic>
                        <pic:nvPicPr>
                          <pic:cNvPr id="0" name="01a_bbdd_principal.png"/>
                          <pic:cNvPicPr/>
                        </pic:nvPicPr>
                        <pic:blipFill>
                          <a:blip r:embed="rId33"/>
                          <a:stretch>
                            <a:fillRect/>
                          </a:stretch>
                        </pic:blipFill>
                        <pic:spPr>
                          <a:xfrm>
                            <a:off x="0" y="0"/>
                            <a:ext cx="2664000" cy="168913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664000" cy="2664000"/>
                  <wp:docPr id="19" name="Picture 19" descr="Figura 2.3. Tienda, puesto y sistema de información común."/>
                  <wp:cNvGraphicFramePr>
                    <a:graphicFrameLocks noChangeAspect="1"/>
                  </wp:cNvGraphicFramePr>
                  <a:graphic>
                    <a:graphicData uri="http://schemas.openxmlformats.org/drawingml/2006/picture">
                      <pic:pic>
                        <pic:nvPicPr>
                          <pic:cNvPr id="0" name="01b_tienda_puesto_sic.png"/>
                          <pic:cNvPicPr/>
                        </pic:nvPicPr>
                        <pic:blipFill>
                          <a:blip r:embed="rId34"/>
                          <a:stretch>
                            <a:fillRect/>
                          </a:stretch>
                        </pic:blipFill>
                        <pic:spPr>
                          <a:xfrm>
                            <a:off x="0" y="0"/>
                            <a:ext cx="2664000" cy="2664000"/>
                          </a:xfrm>
                          <a:prstGeom prst="rect"/>
                        </pic:spPr>
                      </pic:pic>
                    </a:graphicData>
                  </a:graphic>
                </wp:inline>
              </w:drawing>
            </w:r>
          </w:p>
        </w:tc>
      </w:tr>
      <w:tr>
        <w:trPr>
          <w:cantSplit/>
        </w:trPr>
        <w:tc>
          <w:tcPr>
            <w:tcW w:type="dxa" w:w="4535"/>
          </w:tcPr>
          <w:p>
            <w:pPr>
              <w:pStyle w:val="Caption"/>
              <w:jc w:val="center"/>
            </w:pPr>
            <w:r>
              <w:t>Figura 2.2. Base de datos principal y prueba de conexión.</w:t>
            </w:r>
          </w:p>
        </w:tc>
        <w:tc>
          <w:tcPr>
            <w:tcW w:type="dxa" w:w="4535"/>
          </w:tcPr>
          <w:p>
            <w:pPr>
              <w:pStyle w:val="Caption"/>
              <w:jc w:val="center"/>
            </w:pPr>
            <w:r>
              <w:t>Figura 2.3. Tienda, puesto y sistema de información común.</w:t>
            </w:r>
          </w:p>
        </w:tc>
      </w:tr>
    </w:tbl>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responde desde el equipo donde se ejecuta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indicada existe y corresponde al entorno esperado.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usuario dispone de permisos suficientes, pero no más de los necesarios.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Puerto, protocolo y motor coinciden con la instalación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de conexión finaliza correctamente antes de Guardar.</w:t>
            </w:r>
          </w:p>
        </w:tc>
      </w:tr>
    </w:tbl>
    <w:tbl>
      <w:tblPr>
        <w:tblW w:type="auto" w:w="0"/>
        <w:jc w:val="center"/>
        <w:tblLayout w:type="fixed"/>
        <w:tblLook w:firstColumn="1" w:firstRow="1" w:lastColumn="0" w:lastRow="0" w:noHBand="0" w:noVBand="1" w:val="04A0"/>
        <w:tblBorders>
          <w:top w:val="single" w:sz="6" w:space="0" w:color="8B5E00"/>
          <w:left w:val="single" w:sz="6" w:space="0" w:color="8B5E00"/>
          <w:bottom w:val="single" w:sz="6" w:space="0" w:color="8B5E00"/>
          <w:right w:val="single" w:sz="6" w:space="0" w:color="8B5E00"/>
          <w:insideH w:val="single" w:sz="6" w:space="0" w:color="8B5E00"/>
          <w:insideV w:val="single" w:sz="6" w:space="0" w:color="8B5E00"/>
        </w:tblBorders>
      </w:tblPr>
      <w:tblGrid>
        <w:gridCol w:w="4929"/>
        <w:gridCol w:w="4929"/>
      </w:tblGrid>
      <w:tr>
        <w:trPr>
          <w:cantSplit/>
        </w:trPr>
        <w:tc>
          <w:tcPr>
            <w:tcW w:type="dxa" w:w="567"/>
            <w:shd w:fill="8B5E00"/>
            <w:tcMar>
              <w:top w:w="100" w:type="dxa"/>
              <w:start w:w="80" w:type="dxa"/>
              <w:bottom w:w="100" w:type="dxa"/>
              <w:end w:w="80" w:type="dxa"/>
            </w:tcMar>
            <w:vAlign w:val="center"/>
          </w:tcPr>
          <w:p>
            <w:pPr>
              <w:jc w:val="center"/>
            </w:pPr>
            <w:r>
              <w:rPr>
                <w:b/>
                <w:color w:val="FFFFFF"/>
                <w:sz w:val="32"/>
              </w:rPr>
              <w:t>!</w:t>
            </w:r>
          </w:p>
        </w:tc>
        <w:tc>
          <w:tcPr>
            <w:tcW w:type="dxa" w:w="8674"/>
            <w:shd w:fill="FFF4D6"/>
            <w:tcMar>
              <w:top w:w="130" w:type="dxa"/>
              <w:start w:w="180" w:type="dxa"/>
              <w:bottom w:w="130" w:type="dxa"/>
              <w:end w:w="180" w:type="dxa"/>
            </w:tcMar>
            <w:vAlign w:val="center"/>
          </w:tcPr>
          <w:p>
            <w:pPr>
              <w:pStyle w:val="BodyText"/>
            </w:pPr>
            <w:r>
              <w:rPr>
                <w:b/>
                <w:color w:val="8B5E00"/>
              </w:rPr>
              <w:t xml:space="preserve">PRECAUCIÓN: </w:t>
            </w:r>
            <w:r>
              <w:t>No cambie charset, collation o motor de tablas en producción sin copia previa y sin comprobar las tablas afectadas. Las mezclas de collations pueden provocar errores en consultas JOIN.</w:t>
            </w:r>
          </w:p>
        </w:tc>
      </w:tr>
    </w:tbl>
    <w:p>
      <w:pPr>
        <w:pStyle w:val="Heading3"/>
      </w:pPr>
      <w:r>
        <w:t>2.3.2 Tienda activa y puesto</w:t>
      </w:r>
    </w:p>
    <w:p>
      <w:pPr>
        <w:pStyle w:val="BodyText"/>
      </w:pPr>
      <w:r>
        <w:t>La tienda determina el conjunto de tablas y configuraciones sobre el que se trabaja. El puesto identifica la terminal de venta y debe coincidir con la letra mostrada en Ventas y con la registrada en históricos. Cambiar de tienda o puesto no es un cambio visual: puede dirigir las operaciones a otra numeración o conjunto de datos.</w:t>
      </w:r>
    </w:p>
    <w:p>
      <w:pPr>
        <w:pStyle w:val="Heading3"/>
      </w:pPr>
      <w:r>
        <w:t>2.3.3 Sistema de información común</w:t>
      </w:r>
    </w:p>
    <w:p>
      <w:pPr>
        <w:pStyle w:val="BodyText"/>
      </w:pPr>
      <w:r>
        <w:t>El bloque SIC es opcional. Cuando no se utilice, debe permanecer desactivado y sus controles aparecerán inactivos. Al activarlo, configure y pruebe su conexión de forma independiente a la base principal.</w:t>
      </w:r>
    </w:p>
    <w:p>
      <w:pPr>
        <w:pStyle w:val="Heading3"/>
      </w:pPr>
      <w:r>
        <w:t>2.3.4 Correo electrónico SMTP</w:t>
      </w:r>
    </w:p>
    <w:p>
      <w:pPr>
        <w:jc w:val="center"/>
      </w:pPr>
      <w:r>
        <w:drawing>
          <wp:inline xmlns:a="http://schemas.openxmlformats.org/drawingml/2006/main" xmlns:pic="http://schemas.openxmlformats.org/drawingml/2006/picture">
            <wp:extent cx="3888000" cy="3504676"/>
            <wp:docPr id="20" name="Picture 20" descr="Detalle de configuración SMTP con datos anonimizados" title="Detalle de configuración SMTP con datos anonimizados"/>
            <wp:cNvGraphicFramePr>
              <a:graphicFrameLocks noChangeAspect="1"/>
            </wp:cNvGraphicFramePr>
            <a:graphic>
              <a:graphicData uri="http://schemas.openxmlformats.org/drawingml/2006/picture">
                <pic:pic>
                  <pic:nvPicPr>
                    <pic:cNvPr id="0" name="01c_correo_smtp.png"/>
                    <pic:cNvPicPr/>
                  </pic:nvPicPr>
                  <pic:blipFill>
                    <a:blip r:embed="rId35"/>
                    <a:stretch>
                      <a:fillRect/>
                    </a:stretch>
                  </pic:blipFill>
                  <pic:spPr>
                    <a:xfrm>
                      <a:off x="0" y="0"/>
                      <a:ext cx="3888000" cy="3504676"/>
                    </a:xfrm>
                    <a:prstGeom prst="rect"/>
                  </pic:spPr>
                </pic:pic>
              </a:graphicData>
            </a:graphic>
          </wp:inline>
        </w:drawing>
      </w:r>
    </w:p>
    <w:p>
      <w:pPr>
        <w:pStyle w:val="Caption"/>
        <w:jc w:val="center"/>
      </w:pPr>
      <w:r>
        <w:t>Figura 2.4. Configuración del correo SMTP. Datos de acceso anonimizados.</w:t>
      </w:r>
    </w:p>
    <w:p>
      <w:pPr>
        <w:pStyle w:val="BodyText"/>
      </w:pPr>
      <w:r>
        <w:t>Compruebe cuenta de envío, usuario, clave, servidor, puerto y seguridad. SSL y TLS deben seguir los requisitos del proveedor de correo. La cuenta de copia es opcional. El asunto y el texto predeterminados pueden adaptarse, pero conviene mantenerlos claros y no incluir información confidencial.</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remitente y el usuario son correctos.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y el puerto corresponden al proveedor.</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SSL/TLS están configurados según el servicio utilizado.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cuenta puede enviar desde el equipo de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llega al destinatario y el aviso final queda visible por encima de los demás controles.</w:t>
            </w:r>
          </w:p>
        </w:tc>
      </w:tr>
    </w:tbl>
    <w:p>
      <w:pPr>
        <w:pStyle w:val="Heading2"/>
      </w:pPr>
      <w:r>
        <w:t>2.4 Empresa, tienda, puesto y usuario</w:t>
      </w:r>
    </w:p>
    <w:p>
      <w:pPr>
        <w:pStyle w:val="BodyText"/>
      </w:pPr>
      <w:r>
        <w:t>Los datos de empresa se utilizan en documentos, informes y comunicaciones. La tienda determina el ámbito de trabajo; el puesto identifica la terminal; y el usuario debe quedar asociado a las operaciones que realiza.</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701"/>
            <w:shd w:fill="155A6A"/>
            <w:tcMar>
              <w:top w:w="90" w:type="dxa"/>
              <w:start w:w="100" w:type="dxa"/>
              <w:bottom w:w="90" w:type="dxa"/>
              <w:end w:w="100" w:type="dxa"/>
            </w:tcMar>
          </w:tcPr>
          <w:p>
            <w:pPr>
              <w:jc w:val="center"/>
            </w:pPr>
            <w:r>
              <w:rPr>
                <w:b/>
                <w:color w:val="FFFFFF"/>
              </w:rPr>
              <w:t>Elemento</w:t>
            </w:r>
          </w:p>
        </w:tc>
        <w:tc>
          <w:tcPr>
            <w:tcW w:type="dxa" w:w="7483"/>
            <w:shd w:fill="155A6A"/>
            <w:tcMar>
              <w:top w:w="90" w:type="dxa"/>
              <w:start w:w="100" w:type="dxa"/>
              <w:bottom w:w="90" w:type="dxa"/>
              <w:end w:w="100" w:type="dxa"/>
            </w:tcMar>
          </w:tcPr>
          <w:p>
            <w:pPr>
              <w:jc w:val="center"/>
            </w:pPr>
            <w:r>
              <w:rPr>
                <w:b/>
                <w:color w:val="FFFFFF"/>
              </w:rPr>
              <w:t>Comprobaciones</w:t>
            </w:r>
          </w:p>
        </w:tc>
      </w:tr>
      <w:tr>
        <w:trPr>
          <w:cantSplit/>
        </w:trPr>
        <w:tc>
          <w:tcPr>
            <w:tcW w:type="dxa" w:w="4929"/>
            <w:tcMar>
              <w:top w:w="80" w:type="dxa"/>
              <w:start w:w="100" w:type="dxa"/>
              <w:bottom w:w="80" w:type="dxa"/>
              <w:end w:w="100" w:type="dxa"/>
            </w:tcMar>
          </w:tcPr>
          <w:p>
            <w:pPr>
              <w:pStyle w:val="BodyText"/>
            </w:pPr>
            <w:r>
              <w:t>Empresa</w:t>
            </w:r>
          </w:p>
        </w:tc>
        <w:tc>
          <w:tcPr>
            <w:tcW w:type="dxa" w:w="4929"/>
            <w:tcMar>
              <w:top w:w="80" w:type="dxa"/>
              <w:start w:w="100" w:type="dxa"/>
              <w:bottom w:w="80" w:type="dxa"/>
              <w:end w:w="100" w:type="dxa"/>
            </w:tcMar>
          </w:tcPr>
          <w:p>
            <w:pPr>
              <w:pStyle w:val="BodyText"/>
            </w:pPr>
            <w:r>
              <w:t>Razón social, NIF, dirección, datos de contacto, datos fiscales y textos de documentos.</w:t>
            </w:r>
          </w:p>
        </w:tc>
      </w:tr>
      <w:tr>
        <w:trPr>
          <w:cantSplit/>
        </w:trPr>
        <w:tc>
          <w:tcPr>
            <w:tcW w:type="dxa" w:w="4929"/>
            <w:tcMar>
              <w:top w:w="80" w:type="dxa"/>
              <w:start w:w="100" w:type="dxa"/>
              <w:bottom w:w="80" w:type="dxa"/>
              <w:end w:w="100" w:type="dxa"/>
            </w:tcMar>
          </w:tcPr>
          <w:p>
            <w:pPr>
              <w:pStyle w:val="BodyText"/>
            </w:pPr>
            <w:r>
              <w:t>Tienda</w:t>
            </w:r>
          </w:p>
        </w:tc>
        <w:tc>
          <w:tcPr>
            <w:tcW w:type="dxa" w:w="4929"/>
            <w:tcMar>
              <w:top w:w="80" w:type="dxa"/>
              <w:start w:w="100" w:type="dxa"/>
              <w:bottom w:w="80" w:type="dxa"/>
              <w:end w:w="100" w:type="dxa"/>
            </w:tcMar>
          </w:tcPr>
          <w:p>
            <w:pPr>
              <w:pStyle w:val="BodyText"/>
            </w:pPr>
            <w:r>
              <w:t>Código, descripción, rutas y correspondencia con las tablas de la instalación.</w:t>
            </w:r>
          </w:p>
        </w:tc>
      </w:tr>
      <w:tr>
        <w:trPr>
          <w:cantSplit/>
        </w:trPr>
        <w:tc>
          <w:tcPr>
            <w:tcW w:type="dxa" w:w="4929"/>
            <w:tcMar>
              <w:top w:w="80" w:type="dxa"/>
              <w:start w:w="100" w:type="dxa"/>
              <w:bottom w:w="80" w:type="dxa"/>
              <w:end w:w="100" w:type="dxa"/>
            </w:tcMar>
          </w:tcPr>
          <w:p>
            <w:pPr>
              <w:pStyle w:val="BodyText"/>
            </w:pPr>
            <w:r>
              <w:t>Puesto</w:t>
            </w:r>
          </w:p>
        </w:tc>
        <w:tc>
          <w:tcPr>
            <w:tcW w:type="dxa" w:w="4929"/>
            <w:tcMar>
              <w:top w:w="80" w:type="dxa"/>
              <w:start w:w="100" w:type="dxa"/>
              <w:bottom w:w="80" w:type="dxa"/>
              <w:end w:w="100" w:type="dxa"/>
            </w:tcMar>
          </w:tcPr>
          <w:p>
            <w:pPr>
              <w:pStyle w:val="BodyText"/>
            </w:pPr>
            <w:r>
              <w:t>Letra o identificador visible en Ventas y coherente con históricos, caja y series.</w:t>
            </w:r>
          </w:p>
        </w:tc>
      </w:tr>
      <w:tr>
        <w:trPr>
          <w:cantSplit/>
        </w:trPr>
        <w:tc>
          <w:tcPr>
            <w:tcW w:type="dxa" w:w="4929"/>
            <w:tcMar>
              <w:top w:w="80" w:type="dxa"/>
              <w:start w:w="100" w:type="dxa"/>
              <w:bottom w:w="80" w:type="dxa"/>
              <w:end w:w="100" w:type="dxa"/>
            </w:tcMar>
          </w:tcPr>
          <w:p>
            <w:pPr>
              <w:pStyle w:val="BodyText"/>
            </w:pPr>
            <w:r>
              <w:t>Usuario</w:t>
            </w:r>
          </w:p>
        </w:tc>
        <w:tc>
          <w:tcPr>
            <w:tcW w:type="dxa" w:w="4929"/>
            <w:tcMar>
              <w:top w:w="80" w:type="dxa"/>
              <w:start w:w="100" w:type="dxa"/>
              <w:bottom w:w="80" w:type="dxa"/>
              <w:end w:w="100" w:type="dxa"/>
            </w:tcMar>
          </w:tcPr>
          <w:p>
            <w:pPr>
              <w:pStyle w:val="BodyText"/>
            </w:pPr>
            <w:r>
              <w:t>Nombre, credenciales, permisos y asociación correcta a las operaciones.</w:t>
            </w:r>
          </w:p>
        </w:tc>
      </w:tr>
    </w:tbl>
    <w:p>
      <w:pPr>
        <w:pStyle w:val="Heading2"/>
      </w:pPr>
      <w:r>
        <w:t>2.5 Series y numeraciones</w:t>
      </w:r>
    </w:p>
    <w:p>
      <w:pPr>
        <w:pStyle w:val="BodyText"/>
      </w:pPr>
      <w:r>
        <w:t>Cada tipo de documento utiliza series y contadores. Las series permiten separar tiendas, ejercicios, documentos simplificados, rectificativas y otros circuitos. Antes de comenzar a facturar deben revisarse todos los tipos que se utilizarán.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381"/>
            <w:shd w:fill="155A6A"/>
            <w:tcMar>
              <w:top w:w="90" w:type="dxa"/>
              <w:start w:w="100" w:type="dxa"/>
              <w:bottom w:w="90" w:type="dxa"/>
              <w:end w:w="100" w:type="dxa"/>
            </w:tcMar>
          </w:tcPr>
          <w:p>
            <w:pPr>
              <w:jc w:val="center"/>
            </w:pPr>
            <w:r>
              <w:rPr>
                <w:b/>
                <w:color w:val="FFFFFF"/>
              </w:rPr>
              <w:t>Tipo</w:t>
            </w:r>
          </w:p>
        </w:tc>
        <w:tc>
          <w:tcPr>
            <w:tcW w:type="dxa" w:w="2438"/>
            <w:shd w:fill="155A6A"/>
            <w:tcMar>
              <w:top w:w="90" w:type="dxa"/>
              <w:start w:w="100" w:type="dxa"/>
              <w:bottom w:w="90" w:type="dxa"/>
              <w:end w:w="100" w:type="dxa"/>
            </w:tcMar>
          </w:tcPr>
          <w:p>
            <w:pPr>
              <w:jc w:val="center"/>
            </w:pPr>
            <w:r>
              <w:rPr>
                <w:b/>
                <w:color w:val="FFFFFF"/>
              </w:rPr>
              <w:t>Ejemplos habituales</w:t>
            </w:r>
          </w:p>
        </w:tc>
        <w:tc>
          <w:tcPr>
            <w:tcW w:type="dxa" w:w="4365"/>
            <w:shd w:fill="155A6A"/>
            <w:tcMar>
              <w:top w:w="90" w:type="dxa"/>
              <w:start w:w="100" w:type="dxa"/>
              <w:bottom w:w="90" w:type="dxa"/>
              <w:end w:w="100" w:type="dxa"/>
            </w:tcMar>
          </w:tcPr>
          <w:p>
            <w:pPr>
              <w:jc w:val="center"/>
            </w:pPr>
            <w:r>
              <w:rPr>
                <w:b/>
                <w:color w:val="FFFFFF"/>
              </w:rPr>
              <w:t>Uso</w:t>
            </w:r>
          </w:p>
        </w:tc>
      </w:tr>
      <w:tr>
        <w:trPr>
          <w:cantSplit/>
        </w:trPr>
        <w:tc>
          <w:tcPr>
            <w:tcW w:type="dxa" w:w="3286"/>
            <w:tcMar>
              <w:top w:w="80" w:type="dxa"/>
              <w:start w:w="100" w:type="dxa"/>
              <w:bottom w:w="80" w:type="dxa"/>
              <w:end w:w="100" w:type="dxa"/>
            </w:tcMar>
          </w:tcPr>
          <w:p>
            <w:pPr>
              <w:pStyle w:val="BodyText"/>
            </w:pPr>
            <w:r>
              <w:t>Normal</w:t>
            </w:r>
          </w:p>
        </w:tc>
        <w:tc>
          <w:tcPr>
            <w:tcW w:type="dxa" w:w="3286"/>
            <w:tcMar>
              <w:top w:w="80" w:type="dxa"/>
              <w:start w:w="100" w:type="dxa"/>
              <w:bottom w:w="80" w:type="dxa"/>
              <w:end w:w="100" w:type="dxa"/>
            </w:tcMar>
          </w:tcPr>
          <w:p>
            <w:pPr>
              <w:pStyle w:val="BodyText"/>
            </w:pPr>
            <w:r>
              <w:t>A26, B26...</w:t>
            </w:r>
          </w:p>
        </w:tc>
        <w:tc>
          <w:tcPr>
            <w:tcW w:type="dxa" w:w="3286"/>
            <w:tcMar>
              <w:top w:w="80" w:type="dxa"/>
              <w:start w:w="100" w:type="dxa"/>
              <w:bottom w:w="80" w:type="dxa"/>
              <w:end w:w="100" w:type="dxa"/>
            </w:tcMar>
          </w:tcPr>
          <w:p>
            <w:pPr>
              <w:pStyle w:val="BodyText"/>
            </w:pPr>
            <w:r>
              <w:t>Facturas o documentos completos.</w:t>
            </w:r>
          </w:p>
        </w:tc>
      </w:tr>
      <w:tr>
        <w:trPr>
          <w:cantSplit/>
        </w:trPr>
        <w:tc>
          <w:tcPr>
            <w:tcW w:type="dxa" w:w="3286"/>
            <w:tcMar>
              <w:top w:w="80" w:type="dxa"/>
              <w:start w:w="100" w:type="dxa"/>
              <w:bottom w:w="80" w:type="dxa"/>
              <w:end w:w="100" w:type="dxa"/>
            </w:tcMar>
          </w:tcPr>
          <w:p>
            <w:pPr>
              <w:pStyle w:val="BodyText"/>
            </w:pPr>
            <w:r>
              <w:t>Simplificada</w:t>
            </w:r>
          </w:p>
        </w:tc>
        <w:tc>
          <w:tcPr>
            <w:tcW w:type="dxa" w:w="3286"/>
            <w:tcMar>
              <w:top w:w="80" w:type="dxa"/>
              <w:start w:w="100" w:type="dxa"/>
              <w:bottom w:w="80" w:type="dxa"/>
              <w:end w:w="100" w:type="dxa"/>
            </w:tcMar>
          </w:tcPr>
          <w:p>
            <w:pPr>
              <w:pStyle w:val="BodyText"/>
            </w:pPr>
            <w:r>
              <w:t>FS-A26</w:t>
            </w:r>
          </w:p>
        </w:tc>
        <w:tc>
          <w:tcPr>
            <w:tcW w:type="dxa" w:w="3286"/>
            <w:tcMar>
              <w:top w:w="80" w:type="dxa"/>
              <w:start w:w="100" w:type="dxa"/>
              <w:bottom w:w="80" w:type="dxa"/>
              <w:end w:w="100" w:type="dxa"/>
            </w:tcMar>
          </w:tcPr>
          <w:p>
            <w:pPr>
              <w:pStyle w:val="BodyText"/>
            </w:pPr>
            <w:r>
              <w:t>Facturas simplificadas o tickets fiscales.</w:t>
            </w:r>
          </w:p>
        </w:tc>
      </w:tr>
      <w:tr>
        <w:trPr>
          <w:cantSplit/>
        </w:trPr>
        <w:tc>
          <w:tcPr>
            <w:tcW w:type="dxa" w:w="3286"/>
            <w:tcMar>
              <w:top w:w="80" w:type="dxa"/>
              <w:start w:w="100" w:type="dxa"/>
              <w:bottom w:w="80" w:type="dxa"/>
              <w:end w:w="100" w:type="dxa"/>
            </w:tcMar>
          </w:tcPr>
          <w:p>
            <w:pPr>
              <w:pStyle w:val="BodyText"/>
            </w:pPr>
            <w:r>
              <w:t>Rectificativa normal</w:t>
            </w:r>
          </w:p>
        </w:tc>
        <w:tc>
          <w:tcPr>
            <w:tcW w:type="dxa" w:w="3286"/>
            <w:tcMar>
              <w:top w:w="80" w:type="dxa"/>
              <w:start w:w="100" w:type="dxa"/>
              <w:bottom w:w="80" w:type="dxa"/>
              <w:end w:w="100" w:type="dxa"/>
            </w:tcMar>
          </w:tcPr>
          <w:p>
            <w:pPr>
              <w:pStyle w:val="BodyText"/>
            </w:pPr>
            <w:r>
              <w:t>R26</w:t>
            </w:r>
          </w:p>
        </w:tc>
        <w:tc>
          <w:tcPr>
            <w:tcW w:type="dxa" w:w="3286"/>
            <w:tcMar>
              <w:top w:w="80" w:type="dxa"/>
              <w:start w:w="100" w:type="dxa"/>
              <w:bottom w:w="80" w:type="dxa"/>
              <w:end w:w="100" w:type="dxa"/>
            </w:tcMar>
          </w:tcPr>
          <w:p>
            <w:pPr>
              <w:pStyle w:val="BodyText"/>
            </w:pPr>
            <w:r>
              <w:t>Corrección de factura normal.</w:t>
            </w:r>
          </w:p>
        </w:tc>
      </w:tr>
      <w:tr>
        <w:trPr>
          <w:cantSplit/>
        </w:trPr>
        <w:tc>
          <w:tcPr>
            <w:tcW w:type="dxa" w:w="3286"/>
            <w:tcMar>
              <w:top w:w="80" w:type="dxa"/>
              <w:start w:w="100" w:type="dxa"/>
              <w:bottom w:w="80" w:type="dxa"/>
              <w:end w:w="100" w:type="dxa"/>
            </w:tcMar>
          </w:tcPr>
          <w:p>
            <w:pPr>
              <w:pStyle w:val="BodyText"/>
            </w:pPr>
            <w:r>
              <w:t>Rectificativa simplificada</w:t>
            </w:r>
          </w:p>
        </w:tc>
        <w:tc>
          <w:tcPr>
            <w:tcW w:type="dxa" w:w="3286"/>
            <w:tcMar>
              <w:top w:w="80" w:type="dxa"/>
              <w:start w:w="100" w:type="dxa"/>
              <w:bottom w:w="80" w:type="dxa"/>
              <w:end w:w="100" w:type="dxa"/>
            </w:tcMar>
          </w:tcPr>
          <w:p>
            <w:pPr>
              <w:pStyle w:val="BodyText"/>
            </w:pPr>
            <w:r>
              <w:t>FS-R26</w:t>
            </w:r>
          </w:p>
        </w:tc>
        <w:tc>
          <w:tcPr>
            <w:tcW w:type="dxa" w:w="3286"/>
            <w:tcMar>
              <w:top w:w="80" w:type="dxa"/>
              <w:start w:w="100" w:type="dxa"/>
              <w:bottom w:w="80" w:type="dxa"/>
              <w:end w:w="100" w:type="dxa"/>
            </w:tcMar>
          </w:tcPr>
          <w:p>
            <w:pPr>
              <w:pStyle w:val="BodyText"/>
            </w:pPr>
            <w:r>
              <w:t>Corrección de factura simplificada.</w:t>
            </w:r>
          </w:p>
        </w:tc>
      </w:tr>
    </w:tbl>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CRÍTICO: </w:t>
            </w:r>
            <w:r>
              <w:t>No reinicie ni altere manualmente una numeración que ya haya generado documentos fiscales sin analizar sus consecuencias. Puede producir duplicidades, huecos incoherentes o problemas de trazabilidad.</w:t>
            </w:r>
          </w:p>
        </w:tc>
      </w:tr>
    </w:tbl>
    <w:p>
      <w:pPr>
        <w:pStyle w:val="Heading2"/>
      </w:pPr>
      <w:r>
        <w:t>2.6 Impresión, PDF, QR y rutas del sistema</w:t>
      </w:r>
    </w:p>
    <w:p>
      <w:pPr>
        <w:pStyle w:val="BodyText"/>
      </w:pPr>
      <w:r>
        <w:t>La pestaña VeriFactu también agrupa opciones de impresión de informes, textos para el QR cuando no se utiliza VeriFactu y un resumen de las rutas efectivas del sistema. Esta información ayuda a comprobar que plantillas, iconos, módulos y ficheros de configuración se buscan en la ubicación correcta.</w:t>
      </w:r>
    </w:p>
    <w:p>
      <w:pPr>
        <w:jc w:val="center"/>
      </w:pPr>
      <w:r>
        <w:drawing>
          <wp:inline xmlns:a="http://schemas.openxmlformats.org/drawingml/2006/main" xmlns:pic="http://schemas.openxmlformats.org/drawingml/2006/picture">
            <wp:extent cx="5832000" cy="3627262"/>
            <wp:docPr id="21" name="Picture 21" descr="Pestaña VeriFactu con impresión, datos QR y entorno del sistema, anotada y anonimizada" title="Pestaña VeriFactu con impresión, datos QR y entorno del sist"/>
            <wp:cNvGraphicFramePr>
              <a:graphicFrameLocks noChangeAspect="1"/>
            </wp:cNvGraphicFramePr>
            <a:graphic>
              <a:graphicData uri="http://schemas.openxmlformats.org/drawingml/2006/picture">
                <pic:pic>
                  <pic:nvPicPr>
                    <pic:cNvPr id="0" name="02_informes_verifactu_entorno_anotada.png"/>
                    <pic:cNvPicPr/>
                  </pic:nvPicPr>
                  <pic:blipFill>
                    <a:blip r:embed="rId36"/>
                    <a:stretch>
                      <a:fillRect/>
                    </a:stretch>
                  </pic:blipFill>
                  <pic:spPr>
                    <a:xfrm>
                      <a:off x="0" y="0"/>
                      <a:ext cx="5832000" cy="3627262"/>
                    </a:xfrm>
                    <a:prstGeom prst="rect"/>
                  </pic:spPr>
                </pic:pic>
              </a:graphicData>
            </a:graphic>
          </wp:inline>
        </w:drawing>
      </w:r>
    </w:p>
    <w:p>
      <w:pPr>
        <w:pStyle w:val="Caption"/>
        <w:jc w:val="center"/>
      </w:pPr>
      <w:r>
        <w:t>Figura 2.5. Impresión de informes, datos QR y entorno del sistema. Captura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Qué revisar</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Impresión de informes</w:t>
            </w:r>
          </w:p>
        </w:tc>
        <w:tc>
          <w:tcPr>
            <w:tcW w:type="dxa" w:w="3286"/>
            <w:tcMar>
              <w:top w:w="80" w:type="dxa"/>
              <w:start w:w="100" w:type="dxa"/>
              <w:bottom w:w="80" w:type="dxa"/>
              <w:end w:w="100" w:type="dxa"/>
            </w:tcMar>
          </w:tcPr>
          <w:p>
            <w:pPr>
              <w:pStyle w:val="BodyText"/>
            </w:pPr>
            <w:r>
              <w:t>Visualización previa, impresión directa o generación PDF.</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Datos QR no VeriFactu</w:t>
            </w:r>
          </w:p>
        </w:tc>
        <w:tc>
          <w:tcPr>
            <w:tcW w:type="dxa" w:w="3286"/>
            <w:tcMar>
              <w:top w:w="80" w:type="dxa"/>
              <w:start w:w="100" w:type="dxa"/>
              <w:bottom w:w="80" w:type="dxa"/>
              <w:end w:w="100" w:type="dxa"/>
            </w:tcMar>
          </w:tcPr>
          <w:p>
            <w:pPr>
              <w:pStyle w:val="BodyText"/>
            </w:pPr>
            <w:r>
              <w:t>Leyendas y texto usados cuando el circuito no genera el QR fiscal de VeriFactu.</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Entorno del sistema</w:t>
            </w:r>
          </w:p>
        </w:tc>
        <w:tc>
          <w:tcPr>
            <w:tcW w:type="dxa" w:w="3286"/>
            <w:tcMar>
              <w:top w:w="80" w:type="dxa"/>
              <w:start w:w="100" w:type="dxa"/>
              <w:bottom w:w="80" w:type="dxa"/>
              <w:end w:w="100" w:type="dxa"/>
            </w:tcMar>
          </w:tcPr>
          <w:p>
            <w:pPr>
              <w:pStyle w:val="BodyText"/>
            </w:pPr>
            <w:r>
              <w:t>Modo producción y rutas de configuración, BBDD, informes, iconos, ejecutable y extras.</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Acciones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592000" cy="1576800"/>
                  <wp:docPr id="22" name="Picture 22" descr="Figura 2.6. Modalidad de salida de informes."/>
                  <wp:cNvGraphicFramePr>
                    <a:graphicFrameLocks noChangeAspect="1"/>
                  </wp:cNvGraphicFramePr>
                  <a:graphic>
                    <a:graphicData uri="http://schemas.openxmlformats.org/drawingml/2006/picture">
                      <pic:pic>
                        <pic:nvPicPr>
                          <pic:cNvPr id="0" name="02a_impresion_informes.png"/>
                          <pic:cNvPicPr/>
                        </pic:nvPicPr>
                        <pic:blipFill>
                          <a:blip r:embed="rId37"/>
                          <a:stretch>
                            <a:fillRect/>
                          </a:stretch>
                        </pic:blipFill>
                        <pic:spPr>
                          <a:xfrm>
                            <a:off x="0" y="0"/>
                            <a:ext cx="2592000" cy="15768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880000" cy="1005933"/>
                  <wp:docPr id="23" name="Picture 23" descr="Figura 2.7. Textos del QR cuando no se utiliza VeriFactu."/>
                  <wp:cNvGraphicFramePr>
                    <a:graphicFrameLocks noChangeAspect="1"/>
                  </wp:cNvGraphicFramePr>
                  <a:graphic>
                    <a:graphicData uri="http://schemas.openxmlformats.org/drawingml/2006/picture">
                      <pic:pic>
                        <pic:nvPicPr>
                          <pic:cNvPr id="0" name="02b_datos_qr.png"/>
                          <pic:cNvPicPr/>
                        </pic:nvPicPr>
                        <pic:blipFill>
                          <a:blip r:embed="rId38"/>
                          <a:stretch>
                            <a:fillRect/>
                          </a:stretch>
                        </pic:blipFill>
                        <pic:spPr>
                          <a:xfrm>
                            <a:off x="0" y="0"/>
                            <a:ext cx="2880000" cy="1005933"/>
                          </a:xfrm>
                          <a:prstGeom prst="rect"/>
                        </pic:spPr>
                      </pic:pic>
                    </a:graphicData>
                  </a:graphic>
                </wp:inline>
              </w:drawing>
            </w:r>
          </w:p>
        </w:tc>
      </w:tr>
      <w:tr>
        <w:trPr>
          <w:cantSplit/>
        </w:trPr>
        <w:tc>
          <w:tcPr>
            <w:tcW w:type="dxa" w:w="4535"/>
          </w:tcPr>
          <w:p>
            <w:pPr>
              <w:pStyle w:val="Caption"/>
              <w:jc w:val="center"/>
            </w:pPr>
            <w:r>
              <w:t>Figura 2.6. Modalidad de salida de informes.</w:t>
            </w:r>
          </w:p>
        </w:tc>
        <w:tc>
          <w:tcPr>
            <w:tcW w:type="dxa" w:w="4535"/>
          </w:tcPr>
          <w:p>
            <w:pPr>
              <w:pStyle w:val="Caption"/>
              <w:jc w:val="center"/>
            </w:pPr>
            <w:r>
              <w:t>Figura 2.7. Textos del QR cuando no se utiliza VeriFactu.</w:t>
            </w:r>
          </w:p>
        </w:tc>
      </w:tr>
    </w:tbl>
    <w:p>
      <w:pPr>
        <w:pStyle w:val="BodyText"/>
      </w:pPr>
      <w:r>
        <w:t>Seleccione una única modalidad de salida según el puesto: visualizar antes de imprimir para revisar, imprimir directamente para un flujo rápido o generar PDF cuando el documento debe archivarse o enviarse. Los textos del bloque QR no VeriFactu no sustituyen al QR fiscal generado por el circuito VeriFactu.</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tickets seleccionada y probada.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informes o facturas seleccionada.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Plantillas .lrf localizadas y compatibles con los campos utilizados.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Ruta de PDF con permisos de escritura.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Previsualización, impresión directa y PDF probados según el uso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corresponden a la instalación que se está ejecutando.</w:t>
            </w:r>
          </w:p>
        </w:tc>
      </w:tr>
    </w:tbl>
    <w:p>
      <w:pPr>
        <w:pStyle w:val="Heading2"/>
      </w:pPr>
      <w:r>
        <w:t>2.7 VeriFactu y entorno de producción</w:t>
      </w:r>
    </w:p>
    <w:p>
      <w:pPr>
        <w:jc w:val="center"/>
      </w:pPr>
      <w:r>
        <w:drawing>
          <wp:inline xmlns:a="http://schemas.openxmlformats.org/drawingml/2006/main" xmlns:pic="http://schemas.openxmlformats.org/drawingml/2006/picture">
            <wp:extent cx="5688000" cy="1202900"/>
            <wp:docPr id="24" name="Picture 24" descr="Detalle del entorno del sistema con indicador de producción" title="Detalle del entorno del sistema con indicador de producción"/>
            <wp:cNvGraphicFramePr>
              <a:graphicFrameLocks noChangeAspect="1"/>
            </wp:cNvGraphicFramePr>
            <a:graphic>
              <a:graphicData uri="http://schemas.openxmlformats.org/drawingml/2006/picture">
                <pic:pic>
                  <pic:nvPicPr>
                    <pic:cNvPr id="0" name="02c_entorno_produccion.png"/>
                    <pic:cNvPicPr/>
                  </pic:nvPicPr>
                  <pic:blipFill>
                    <a:blip r:embed="rId39"/>
                    <a:stretch>
                      <a:fillRect/>
                    </a:stretch>
                  </pic:blipFill>
                  <pic:spPr>
                    <a:xfrm>
                      <a:off x="0" y="0"/>
                      <a:ext cx="5688000" cy="1202900"/>
                    </a:xfrm>
                    <a:prstGeom prst="rect"/>
                  </pic:spPr>
                </pic:pic>
              </a:graphicData>
            </a:graphic>
          </wp:inline>
        </w:drawing>
      </w:r>
    </w:p>
    <w:p>
      <w:pPr>
        <w:pStyle w:val="Caption"/>
        <w:jc w:val="center"/>
      </w:pPr>
      <w:r>
        <w:t>Figura 2.8. Indicador del entorno y rutas efectivas de FacturLinEx.</w:t>
      </w:r>
    </w:p>
    <w:p>
      <w:pPr>
        <w:pStyle w:val="BodyText"/>
      </w:pPr>
      <w:r>
        <w:t>Antes de activar el entorno real deben revisarse los datos de empresa, las series, la fecha y hora del sistema, el encadenamiento, la cola y la configuración de envío. El rótulo Sistema en producción debe ser visible y no debe confundirse con un entorno de pruebas.</w:t>
      </w:r>
    </w:p>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PRODUCCIÓN: </w:t>
            </w:r>
            <w:r>
              <w:t>No active el entorno real hasta completar pruebas controladas de venta, generación de documento, cola, hash, impresión y consulta del monitor. Una prueba debe utilizar numeraciones y datos preparados para ese fin.</w:t>
            </w:r>
          </w:p>
        </w:tc>
      </w:tr>
    </w:tbl>
    <w:p>
      <w:pPr>
        <w:pStyle w:val="Heading2"/>
      </w:pPr>
      <w:r>
        <w:t>2.8 Sistema de puntos</w:t>
      </w:r>
    </w:p>
    <w:p>
      <w:pPr>
        <w:pStyle w:val="BodyText"/>
      </w:pPr>
      <w:r>
        <w:t>El sistema de puntos se activa globalmente en Configuración y además debe habilitarse en la ficha del cliente. Los niveles se asignan en la ficha del artículo; el nivel 0 es el valor predeterminado.</w:t>
      </w:r>
    </w:p>
    <w:p>
      <w:pPr>
        <w:jc w:val="center"/>
      </w:pPr>
      <w:r>
        <w:drawing>
          <wp:inline xmlns:a="http://schemas.openxmlformats.org/drawingml/2006/main" xmlns:pic="http://schemas.openxmlformats.org/drawingml/2006/picture">
            <wp:extent cx="5832000" cy="3190232"/>
            <wp:docPr id="25" name="Picture 25" descr="Pestaña Sistema de puntos con configuración y niveles de funcionamiento" title="Pestaña Sistema de puntos con configuración y niveles de fun"/>
            <wp:cNvGraphicFramePr>
              <a:graphicFrameLocks noChangeAspect="1"/>
            </wp:cNvGraphicFramePr>
            <a:graphic>
              <a:graphicData uri="http://schemas.openxmlformats.org/drawingml/2006/picture">
                <pic:pic>
                  <pic:nvPicPr>
                    <pic:cNvPr id="0" name="03_sistema_puntos_anotado.png"/>
                    <pic:cNvPicPr/>
                  </pic:nvPicPr>
                  <pic:blipFill>
                    <a:blip r:embed="rId40"/>
                    <a:stretch>
                      <a:fillRect/>
                    </a:stretch>
                  </pic:blipFill>
                  <pic:spPr>
                    <a:xfrm>
                      <a:off x="0" y="0"/>
                      <a:ext cx="5832000" cy="3190232"/>
                    </a:xfrm>
                    <a:prstGeom prst="rect"/>
                  </pic:spPr>
                </pic:pic>
              </a:graphicData>
            </a:graphic>
          </wp:inline>
        </w:drawing>
      </w:r>
    </w:p>
    <w:p>
      <w:pPr>
        <w:pStyle w:val="Caption"/>
        <w:jc w:val="center"/>
      </w:pPr>
      <w:r>
        <w:t>Figura 2.9. Configuración general del sistema de puntos.</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247"/>
            <w:shd w:fill="155A6A"/>
            <w:tcMar>
              <w:top w:w="90" w:type="dxa"/>
              <w:start w:w="100" w:type="dxa"/>
              <w:bottom w:w="90" w:type="dxa"/>
              <w:end w:w="100" w:type="dxa"/>
            </w:tcMar>
          </w:tcPr>
          <w:p>
            <w:pPr>
              <w:jc w:val="center"/>
            </w:pPr>
            <w:r>
              <w:rPr>
                <w:b/>
                <w:color w:val="FFFFFF"/>
              </w:rPr>
              <w:t>Nivel</w:t>
            </w:r>
          </w:p>
        </w:tc>
        <w:tc>
          <w:tcPr>
            <w:tcW w:type="dxa" w:w="7937"/>
            <w:shd w:fill="155A6A"/>
            <w:tcMar>
              <w:top w:w="90" w:type="dxa"/>
              <w:start w:w="100" w:type="dxa"/>
              <w:bottom w:w="90" w:type="dxa"/>
              <w:end w:w="100" w:type="dxa"/>
            </w:tcMar>
          </w:tcPr>
          <w:p>
            <w:pPr>
              <w:jc w:val="center"/>
            </w:pPr>
            <w:r>
              <w:rPr>
                <w:b/>
                <w:color w:val="FFFFFF"/>
              </w:rPr>
              <w:t>Comportamiento</w:t>
            </w:r>
          </w:p>
        </w:tc>
      </w:tr>
      <w:tr>
        <w:trPr>
          <w:cantSplit/>
        </w:trPr>
        <w:tc>
          <w:tcPr>
            <w:tcW w:type="dxa" w:w="4929"/>
            <w:tcMar>
              <w:top w:w="80" w:type="dxa"/>
              <w:start w:w="100" w:type="dxa"/>
              <w:bottom w:w="80" w:type="dxa"/>
              <w:end w:w="100" w:type="dxa"/>
            </w:tcMar>
          </w:tcPr>
          <w:p>
            <w:pPr>
              <w:pStyle w:val="BodyText"/>
            </w:pPr>
            <w:r>
              <w:t>0</w:t>
            </w:r>
          </w:p>
        </w:tc>
        <w:tc>
          <w:tcPr>
            <w:tcW w:type="dxa" w:w="4929"/>
            <w:tcMar>
              <w:top w:w="80" w:type="dxa"/>
              <w:start w:w="100" w:type="dxa"/>
              <w:bottom w:w="80" w:type="dxa"/>
              <w:end w:w="100" w:type="dxa"/>
            </w:tcMar>
          </w:tcPr>
          <w:p>
            <w:pPr>
              <w:pStyle w:val="BodyText"/>
            </w:pPr>
            <w:r>
              <w:t>Artículo fuera de promoción de puntos.</w:t>
            </w:r>
          </w:p>
        </w:tc>
      </w:tr>
      <w:tr>
        <w:trPr>
          <w:cantSplit/>
        </w:trPr>
        <w:tc>
          <w:tcPr>
            <w:tcW w:type="dxa" w:w="4929"/>
            <w:tcMar>
              <w:top w:w="80" w:type="dxa"/>
              <w:start w:w="100" w:type="dxa"/>
              <w:bottom w:w="80" w:type="dxa"/>
              <w:end w:w="100" w:type="dxa"/>
            </w:tcMar>
          </w:tcPr>
          <w:p>
            <w:pPr>
              <w:pStyle w:val="BodyText"/>
            </w:pPr>
            <w:r>
              <w:t>1</w:t>
            </w:r>
          </w:p>
        </w:tc>
        <w:tc>
          <w:tcPr>
            <w:tcW w:type="dxa" w:w="4929"/>
            <w:tcMar>
              <w:top w:w="80" w:type="dxa"/>
              <w:start w:w="100" w:type="dxa"/>
              <w:bottom w:w="80" w:type="dxa"/>
              <w:end w:w="100" w:type="dxa"/>
            </w:tcMar>
          </w:tcPr>
          <w:p>
            <w:pPr>
              <w:pStyle w:val="BodyText"/>
            </w:pPr>
            <w:r>
              <w:t>Artículo en promoción de puntos.</w:t>
            </w:r>
          </w:p>
        </w:tc>
      </w:tr>
      <w:tr>
        <w:trPr>
          <w:cantSplit/>
        </w:trPr>
        <w:tc>
          <w:tcPr>
            <w:tcW w:type="dxa" w:w="4929"/>
            <w:tcMar>
              <w:top w:w="80" w:type="dxa"/>
              <w:start w:w="100" w:type="dxa"/>
              <w:bottom w:w="80" w:type="dxa"/>
              <w:end w:w="100" w:type="dxa"/>
            </w:tcMar>
          </w:tcPr>
          <w:p>
            <w:pPr>
              <w:pStyle w:val="BodyText"/>
            </w:pPr>
            <w:r>
              <w:t>2</w:t>
            </w:r>
          </w:p>
        </w:tc>
        <w:tc>
          <w:tcPr>
            <w:tcW w:type="dxa" w:w="4929"/>
            <w:tcMar>
              <w:top w:w="80" w:type="dxa"/>
              <w:start w:w="100" w:type="dxa"/>
              <w:bottom w:w="80" w:type="dxa"/>
              <w:end w:w="100" w:type="dxa"/>
            </w:tcMar>
          </w:tcPr>
          <w:p>
            <w:pPr>
              <w:pStyle w:val="BodyText"/>
            </w:pPr>
            <w:r>
              <w:t>Promoción con porcentaje extra sobre la venta convertido en puntos.</w:t>
            </w:r>
          </w:p>
        </w:tc>
      </w:tr>
      <w:tr>
        <w:trPr>
          <w:cantSplit/>
        </w:trPr>
        <w:tc>
          <w:tcPr>
            <w:tcW w:type="dxa" w:w="4929"/>
            <w:tcMar>
              <w:top w:w="80" w:type="dxa"/>
              <w:start w:w="100" w:type="dxa"/>
              <w:bottom w:w="80" w:type="dxa"/>
              <w:end w:w="100" w:type="dxa"/>
            </w:tcMar>
          </w:tcPr>
          <w:p>
            <w:pPr>
              <w:pStyle w:val="BodyText"/>
            </w:pPr>
            <w:r>
              <w:t>3</w:t>
            </w:r>
          </w:p>
        </w:tc>
        <w:tc>
          <w:tcPr>
            <w:tcW w:type="dxa" w:w="4929"/>
            <w:tcMar>
              <w:top w:w="80" w:type="dxa"/>
              <w:start w:w="100" w:type="dxa"/>
              <w:bottom w:w="80" w:type="dxa"/>
              <w:end w:w="100" w:type="dxa"/>
            </w:tcMar>
          </w:tcPr>
          <w:p>
            <w:pPr>
              <w:pStyle w:val="BodyText"/>
            </w:pPr>
            <w:r>
              <w:t>Promoción con porcentaje extra y puntos fijos adicionales.</w:t>
            </w:r>
          </w:p>
        </w:tc>
      </w:tr>
      <w:tr>
        <w:trPr>
          <w:cantSplit/>
        </w:trPr>
        <w:tc>
          <w:tcPr>
            <w:tcW w:type="dxa" w:w="4929"/>
            <w:tcMar>
              <w:top w:w="80" w:type="dxa"/>
              <w:start w:w="100" w:type="dxa"/>
              <w:bottom w:w="80" w:type="dxa"/>
              <w:end w:w="100" w:type="dxa"/>
            </w:tcMar>
          </w:tcPr>
          <w:p>
            <w:pPr>
              <w:pStyle w:val="BodyText"/>
            </w:pPr>
            <w:r>
              <w:t>4</w:t>
            </w:r>
          </w:p>
        </w:tc>
        <w:tc>
          <w:tcPr>
            <w:tcW w:type="dxa" w:w="4929"/>
            <w:tcMar>
              <w:top w:w="80" w:type="dxa"/>
              <w:start w:w="100" w:type="dxa"/>
              <w:bottom w:w="80" w:type="dxa"/>
              <w:end w:w="100" w:type="dxa"/>
            </w:tcMar>
          </w:tcPr>
          <w:p>
            <w:pPr>
              <w:pStyle w:val="BodyText"/>
            </w:pPr>
            <w:r>
              <w:t>Promoción basada únicamente en puntos fijos.</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ACTIVACIÓN COORDINADA: </w:t>
            </w:r>
            <w:r>
              <w:t>La configuración global por sí sola no basta: compruebe la opción del cliente y el nivel del artículo. Pruebe una venta con importes conocidos antes de utilizar los puntos en producción.</w:t>
            </w:r>
          </w:p>
        </w:tc>
      </w:tr>
    </w:tbl>
    <w:p>
      <w:pPr>
        <w:pStyle w:val="Heading2"/>
      </w:pPr>
      <w:r>
        <w:t>2.9 Copias de seguridad iniciales</w:t>
      </w:r>
    </w:p>
    <w:p>
      <w:pPr>
        <w:pStyle w:val="BodyText"/>
      </w:pPr>
      <w:r>
        <w:t>Debe existir al menos una copia completa antes de comenzar a trabajar y otra antes de cualquier cambio importante. Una copia solo es fiable cuando puede restaurarse correctamente.</w:t>
      </w:r>
    </w:p>
    <w:p>
      <w:pPr>
        <w:pStyle w:val="ListBullet"/>
      </w:pPr>
      <w:r>
        <w:t>Guardar una copia fuera del servidor principal.</w:t>
      </w:r>
    </w:p>
    <w:p>
      <w:pPr>
        <w:pStyle w:val="ListBullet"/>
      </w:pPr>
      <w:r>
        <w:t>Conservar varias fechas, no únicamente la última.</w:t>
      </w:r>
    </w:p>
    <w:p>
      <w:pPr>
        <w:pStyle w:val="ListBullet"/>
      </w:pPr>
      <w:r>
        <w:t>Registrar qué versión del programa y de la base de datos corresponde a cada copia.</w:t>
      </w:r>
    </w:p>
    <w:p>
      <w:pPr>
        <w:pStyle w:val="ListBullet"/>
      </w:pPr>
      <w:r>
        <w:t>Probar periódicamente la restauración en un entorno separado.</w:t>
      </w:r>
    </w:p>
    <w:p>
      <w:pPr>
        <w:pStyle w:val="Heading2"/>
      </w:pPr>
      <w:r>
        <w:t>2.10 Lista final de verificación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principal supera la prueba de conexión.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Tienda, puesto y usuario corresponden al lugar de trabajo.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series y numeraciones están revisadas.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Impresoras, plantillas y PDF funcionan.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correo SMTP ha superado una prueba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existen y son accesibles.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VeriFactu está en el entorno correcto y el monitor puede consultarse.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sistema de puntos está desactivado o configurado de forma coherente.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Existe una copia de seguridad verificable.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Se ha realizado una venta completa de prueba.</w:t>
            </w:r>
          </w:p>
        </w:tc>
      </w:tr>
    </w:tbl>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CONFIGURACIÓN PREPARADA: </w:t>
            </w:r>
            <w:r>
              <w:t>La instalación puede pasar a uso normal cuando todas las comprobaciones anteriores se han completado y se conserva una copia de seguridad del estado validado.</w:t>
            </w:r>
          </w:p>
        </w:tc>
      </w:tr>
    </w:tbl>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versión validada clientes_moderno_v2_fix13_selector_formulario_facturas.zip. Las capturas son reales y cada zona relevante queda marcada con cuadro y número.</w:t>
            </w:r>
          </w:p>
        </w:tc>
      </w:tr>
    </w:tbl>
    <w:p>
      <w:pPr>
        <w:pStyle w:val="Heading2"/>
      </w:pPr>
      <w:r>
        <w:t>3.1 Visión general de la ficha de Clientes</w:t>
      </w:r>
    </w:p>
    <w:p>
      <w:pPr>
        <w:pStyle w:val="BodyText"/>
      </w:pPr>
      <w:r>
        <w:t>La ficha de Clientes centraliza los datos generales, condiciones comerciales, facturación, bancos, históricos, estadísticas, gráficas y opciones especiales. La cabecera mantiene siempre visible el cliente activo y el campo Código es el punto principal de acceso.</w:t>
      </w:r>
    </w:p>
    <w:p>
      <w:pPr>
        <w:jc w:val="center"/>
      </w:pPr>
      <w:r>
        <w:drawing>
          <wp:inline xmlns:a="http://schemas.openxmlformats.org/drawingml/2006/main" xmlns:pic="http://schemas.openxmlformats.org/drawingml/2006/picture">
            <wp:extent cx="5903999" cy="3670717"/>
            <wp:docPr id="26" name="Picture 26" descr="Ficha general de Clientes con seis zonas numeradas"/>
            <wp:cNvGraphicFramePr>
              <a:graphicFrameLocks noChangeAspect="1"/>
            </wp:cNvGraphicFramePr>
            <a:graphic>
              <a:graphicData uri="http://schemas.openxmlformats.org/drawingml/2006/picture">
                <pic:pic>
                  <pic:nvPicPr>
                    <pic:cNvPr id="0" name="01_clientes_general_anotada.png"/>
                    <pic:cNvPicPr/>
                  </pic:nvPicPr>
                  <pic:blipFill>
                    <a:blip r:embed="rId41"/>
                    <a:stretch>
                      <a:fillRect/>
                    </a:stretch>
                  </pic:blipFill>
                  <pic:spPr>
                    <a:xfrm>
                      <a:off x="0" y="0"/>
                      <a:ext cx="5903999" cy="3670717"/>
                    </a:xfrm>
                    <a:prstGeom prst="rect"/>
                  </pic:spPr>
                </pic:pic>
              </a:graphicData>
            </a:graphic>
          </wp:inline>
        </w:drawing>
      </w:r>
    </w:p>
    <w:p>
      <w:pPr>
        <w:pStyle w:val="Caption"/>
        <w:jc w:val="center"/>
      </w:pPr>
      <w:r>
        <w:t>Figura 3.1. Pantalla general de Clientes con las zonas principales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Uso principal</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Cabecera</w:t>
            </w:r>
          </w:p>
        </w:tc>
        <w:tc>
          <w:tcPr>
            <w:tcW w:type="dxa" w:w="6236"/>
            <w:vAlign w:val="center"/>
            <w:tcMar>
              <w:top w:w="80" w:type="dxa"/>
              <w:start w:w="100" w:type="dxa"/>
              <w:bottom w:w="80" w:type="dxa"/>
              <w:end w:w="100" w:type="dxa"/>
            </w:tcMar>
          </w:tcPr>
          <w:p>
            <w:pPr>
              <w:spacing w:after="0"/>
            </w:pPr>
            <w:r>
              <w:rPr>
                <w:sz w:val="17"/>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Cliente activo</w:t>
            </w:r>
          </w:p>
        </w:tc>
        <w:tc>
          <w:tcPr>
            <w:tcW w:type="dxa" w:w="6236"/>
            <w:vAlign w:val="center"/>
            <w:tcMar>
              <w:top w:w="80" w:type="dxa"/>
              <w:start w:w="100" w:type="dxa"/>
              <w:bottom w:w="80" w:type="dxa"/>
              <w:end w:w="100" w:type="dxa"/>
            </w:tcMar>
            <w:shd w:fill="EEF5F7"/>
          </w:tcPr>
          <w:p>
            <w:pPr>
              <w:spacing w:after="0"/>
            </w:pPr>
            <w:r>
              <w:rPr>
                <w:sz w:val="17"/>
              </w:rPr>
              <w:t>Campo Código, acción Crear y nombre del cliente cargado.</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Pestañas</w:t>
            </w:r>
          </w:p>
        </w:tc>
        <w:tc>
          <w:tcPr>
            <w:tcW w:type="dxa" w:w="6236"/>
            <w:vAlign w:val="center"/>
            <w:tcMar>
              <w:top w:w="80" w:type="dxa"/>
              <w:start w:w="100" w:type="dxa"/>
              <w:bottom w:w="80" w:type="dxa"/>
              <w:end w:w="100" w:type="dxa"/>
            </w:tcMar>
          </w:tcPr>
          <w:p>
            <w:pPr>
              <w:spacing w:after="0"/>
            </w:pPr>
            <w:r>
              <w:rPr>
                <w:sz w:val="17"/>
              </w:rPr>
              <w:t>General, Facturación, Bancos, Histórico, Estadísticas, Gráficas y Tienda virtual.</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Datos de la ficha</w:t>
            </w:r>
          </w:p>
        </w:tc>
        <w:tc>
          <w:tcPr>
            <w:tcW w:type="dxa" w:w="6236"/>
            <w:vAlign w:val="center"/>
            <w:tcMar>
              <w:top w:w="80" w:type="dxa"/>
              <w:start w:w="100" w:type="dxa"/>
              <w:bottom w:w="80" w:type="dxa"/>
              <w:end w:w="100" w:type="dxa"/>
            </w:tcMar>
            <w:shd w:fill="EEF5F7"/>
          </w:tcPr>
          <w:p>
            <w:pPr>
              <w:spacing w:after="0"/>
            </w:pPr>
            <w:r>
              <w:rPr>
                <w:sz w:val="17"/>
              </w:rPr>
              <w:t>Información fiscal, comercial, contacto, observaciones y avisos.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Opciones especiales</w:t>
            </w:r>
          </w:p>
        </w:tc>
        <w:tc>
          <w:tcPr>
            <w:tcW w:type="dxa" w:w="6236"/>
            <w:vAlign w:val="center"/>
            <w:tcMar>
              <w:top w:w="80" w:type="dxa"/>
              <w:start w:w="100" w:type="dxa"/>
              <w:bottom w:w="80" w:type="dxa"/>
              <w:end w:w="100" w:type="dxa"/>
            </w:tcMar>
          </w:tcPr>
          <w:p>
            <w:pPr>
              <w:spacing w:after="0"/>
            </w:pPr>
            <w:r>
              <w:rPr>
                <w:sz w:val="17"/>
              </w:rPr>
              <w:t>Incluye el uso de precio de coste para autoconsumo cuando C57 está activado.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Nuevo, Modificar, Borrar, Anterior, Siguiente y Cerrar.</w:t>
            </w:r>
          </w:p>
        </w:tc>
      </w:tr>
    </w:tbl>
    <w:p>
      <w:pPr>
        <w:pStyle w:val="Heading2"/>
      </w:pPr>
      <w:r>
        <w:t>3.2 Acceso, foco inicial y cliente activo</w:t>
      </w:r>
    </w:p>
    <w:p>
      <w:pPr>
        <w:pStyle w:val="BodyText"/>
      </w:pPr>
      <w:r>
        <w:t>Al abrir Clientes, el foco debe situarse en Código. Esto permite consultar una ficha, introducir el siguiente código propuesto o iniciar un alta sin utilizar el ratón.</w:t>
      </w:r>
    </w:p>
    <w:p>
      <w:pPr>
        <w:pStyle w:val="ListBullet"/>
      </w:pPr>
      <w:r>
        <w:t>Introduzca un código existente para cargar la ficha correspondiente.</w:t>
      </w:r>
    </w:p>
    <w:p>
      <w:pPr>
        <w:pStyle w:val="ListBullet"/>
      </w:pPr>
      <w:r>
        <w:t>Use Crear cuando el código propuesto deba convertirse en una nueva ficha.</w:t>
      </w:r>
    </w:p>
    <w:p>
      <w:pPr>
        <w:pStyle w:val="ListBullet"/>
      </w:pPr>
      <w:r>
        <w:t>Compruebe siempre el nombre mostrado en Cliente activo antes de modificar datos.</w:t>
      </w:r>
    </w:p>
    <w:p>
      <w:pPr>
        <w:pStyle w:val="ListBullet"/>
      </w:pPr>
      <w:r>
        <w:t>ESC ejecuta Cerrar desde la página principal; si hay un selector o diálogo abierto, debe atender primero ese elemento.</w:t>
      </w:r>
    </w:p>
    <w:p>
      <w:pPr>
        <w:pStyle w:val="ListBullet"/>
      </w:pPr>
      <w:r>
        <w:t>La búsqueda general se abre centrada, en tamaño medio y con el grid preparado para trabajar con teclado.</w:t>
      </w:r>
    </w:p>
    <w:p>
      <w:pPr>
        <w:pStyle w:val="Heading2"/>
      </w:pPr>
      <w:r>
        <w:t>3.3 Consultar, crear y modificar un cliente</w:t>
      </w:r>
    </w:p>
    <w:p>
      <w:pPr>
        <w:pStyle w:val="BodyText"/>
      </w:pPr>
      <w:r>
        <w:t>1. Introduzca el código si lo conoce o utilice la búsqueda por nombre, razón social, NIF/CIF/DNI/NIE u otros datos disponibles.</w:t>
      </w:r>
    </w:p>
    <w:p>
      <w:pPr>
        <w:pStyle w:val="BodyText"/>
      </w:pPr>
      <w:r>
        <w:t>2. Confirme en la cabecera que el cliente activo es el correcto.</w:t>
      </w:r>
    </w:p>
    <w:p>
      <w:pPr>
        <w:pStyle w:val="BodyText"/>
      </w:pPr>
      <w:r>
        <w:t>3. Revise la pestaña General y, cuando proceda, Facturación, Bancos y opciones especiales.</w:t>
      </w:r>
    </w:p>
    <w:p>
      <w:pPr>
        <w:pStyle w:val="BodyText"/>
      </w:pPr>
      <w:r>
        <w:t>4. Pulse Modificar, cambie únicamente los datos necesarios y compruebe el resultado antes de continuar.</w:t>
      </w:r>
    </w:p>
    <w:p>
      <w:pPr>
        <w:pStyle w:val="BodyText"/>
      </w:pPr>
      <w:r>
        <w:t>5. Para un alta, verifique previamente que la entidad no existe con otro código y complete los datos fiscales y de contacto mínimos.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COHERENCIA DEL CÓDIGO  </w:t>
            </w:r>
            <w:r>
              <w:t>La propuesta del siguiente cliente debe seguir la misma lógica en Clientes y en Ventas. No cree dos fichas para la misma entidad por diferencias de nombre, espacios o formato del NIF.</w:t>
            </w:r>
          </w:p>
        </w:tc>
      </w:tr>
    </w:tbl>
    <w:p>
      <w:pPr>
        <w:pStyle w:val="Heading2"/>
      </w:pPr>
      <w:r>
        <w:t>3.4 Facturación y condiciones comerciales</w:t>
      </w:r>
    </w:p>
    <w:p>
      <w:pPr>
        <w:pStyle w:val="BodyText"/>
      </w:pPr>
      <w:r>
        <w:t>La pestaña Facturación reúne las condiciones que influyen en plazos, descuentos, recargo de equivalencia, riesgo, entregas a cuenta, formularios de factura, rutas y sistema de puntos.</w:t>
      </w:r>
    </w:p>
    <w:p>
      <w:pPr>
        <w:jc w:val="center"/>
      </w:pPr>
      <w:r>
        <w:drawing>
          <wp:inline xmlns:a="http://schemas.openxmlformats.org/drawingml/2006/main" xmlns:pic="http://schemas.openxmlformats.org/drawingml/2006/picture">
            <wp:extent cx="5903999" cy="3237974"/>
            <wp:docPr id="27" name="Picture 27" descr="Pestaña Facturación de Clientes con seis zonas numeradas"/>
            <wp:cNvGraphicFramePr>
              <a:graphicFrameLocks noChangeAspect="1"/>
            </wp:cNvGraphicFramePr>
            <a:graphic>
              <a:graphicData uri="http://schemas.openxmlformats.org/drawingml/2006/picture">
                <pic:pic>
                  <pic:nvPicPr>
                    <pic:cNvPr id="0" name="02_clientes_facturacion_anotada.png"/>
                    <pic:cNvPicPr/>
                  </pic:nvPicPr>
                  <pic:blipFill>
                    <a:blip r:embed="rId42"/>
                    <a:stretch>
                      <a:fillRect/>
                    </a:stretch>
                  </pic:blipFill>
                  <pic:spPr>
                    <a:xfrm>
                      <a:off x="0" y="0"/>
                      <a:ext cx="5903999" cy="3237974"/>
                    </a:xfrm>
                    <a:prstGeom prst="rect"/>
                  </pic:spPr>
                </pic:pic>
              </a:graphicData>
            </a:graphic>
          </wp:inline>
        </w:drawing>
      </w:r>
    </w:p>
    <w:p>
      <w:pPr>
        <w:pStyle w:val="Caption"/>
        <w:jc w:val="center"/>
      </w:pPr>
      <w:r>
        <w:t>Figura 3.2. Pestaña Facturación con condiciones comerciales, rutas, puntos y acciones.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Comprobaciones</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Condiciones comerciales</w:t>
            </w:r>
          </w:p>
        </w:tc>
        <w:tc>
          <w:tcPr>
            <w:tcW w:type="dxa" w:w="6236"/>
            <w:vAlign w:val="center"/>
            <w:tcMar>
              <w:top w:w="80" w:type="dxa"/>
              <w:start w:w="100" w:type="dxa"/>
              <w:bottom w:w="80" w:type="dxa"/>
              <w:end w:w="100" w:type="dxa"/>
            </w:tcMar>
          </w:tcPr>
          <w:p>
            <w:pPr>
              <w:spacing w:after="0"/>
            </w:pPr>
            <w:r>
              <w:rPr>
                <w:sz w:val="17"/>
              </w:rPr>
              <w:t>Plazos, descuentos, recargo, tarifa, crédito, riesgo y entregas a cuenta.</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Configuración de facturación</w:t>
            </w:r>
          </w:p>
        </w:tc>
        <w:tc>
          <w:tcPr>
            <w:tcW w:type="dxa" w:w="6236"/>
            <w:vAlign w:val="center"/>
            <w:tcMar>
              <w:top w:w="80" w:type="dxa"/>
              <w:start w:w="100" w:type="dxa"/>
              <w:bottom w:w="80" w:type="dxa"/>
              <w:end w:w="100" w:type="dxa"/>
            </w:tcMar>
            <w:shd w:fill="EEF5F7"/>
          </w:tcPr>
          <w:p>
            <w:pPr>
              <w:spacing w:after="0"/>
            </w:pPr>
            <w:r>
              <w:rPr>
                <w:sz w:val="17"/>
              </w:rPr>
              <w:t>Copias, formulario de facturas, ruta y subruta.</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Rutas, transporte y entrega</w:t>
            </w:r>
          </w:p>
        </w:tc>
        <w:tc>
          <w:tcPr>
            <w:tcW w:type="dxa" w:w="6236"/>
            <w:vAlign w:val="center"/>
            <w:tcMar>
              <w:top w:w="80" w:type="dxa"/>
              <w:start w:w="100" w:type="dxa"/>
              <w:bottom w:w="80" w:type="dxa"/>
              <w:end w:w="100" w:type="dxa"/>
            </w:tcMar>
          </w:tcPr>
          <w:p>
            <w:pPr>
              <w:spacing w:after="0"/>
            </w:pPr>
            <w:r>
              <w:rPr>
                <w:sz w:val="17"/>
              </w:rPr>
              <w:t>Agencia, domicilio, localidad y portes.</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Sistema de puntos</w:t>
            </w:r>
          </w:p>
        </w:tc>
        <w:tc>
          <w:tcPr>
            <w:tcW w:type="dxa" w:w="6236"/>
            <w:vAlign w:val="center"/>
            <w:tcMar>
              <w:top w:w="80" w:type="dxa"/>
              <w:start w:w="100" w:type="dxa"/>
              <w:bottom w:w="80" w:type="dxa"/>
              <w:end w:w="100" w:type="dxa"/>
            </w:tcMar>
            <w:shd w:fill="EEF5F7"/>
          </w:tcPr>
          <w:p>
            <w:pPr>
              <w:spacing w:after="0"/>
            </w:pPr>
            <w:r>
              <w:rPr>
                <w:sz w:val="17"/>
              </w:rPr>
              <w:t>Activación para el cliente y puntos acumulados.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Cliente activo</w:t>
            </w:r>
          </w:p>
        </w:tc>
        <w:tc>
          <w:tcPr>
            <w:tcW w:type="dxa" w:w="6236"/>
            <w:vAlign w:val="center"/>
            <w:tcMar>
              <w:top w:w="80" w:type="dxa"/>
              <w:start w:w="100" w:type="dxa"/>
              <w:bottom w:w="80" w:type="dxa"/>
              <w:end w:w="100" w:type="dxa"/>
            </w:tcMar>
          </w:tcPr>
          <w:p>
            <w:pPr>
              <w:spacing w:after="0"/>
            </w:pPr>
            <w:r>
              <w:rPr>
                <w:sz w:val="17"/>
              </w:rPr>
              <w:t>Código y nombre de la ficha que se está editando.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Guardar mediante Modificar, navegar o cerrar.</w:t>
            </w:r>
          </w:p>
        </w:tc>
      </w:tr>
    </w:tbl>
    <w:p>
      <w:pPr>
        <w:pStyle w:val="ListBullet"/>
      </w:pPr>
      <w:r>
        <w:t>Revise especialmente descuento comercial, pronto pago, tarifa, recargo de equivalencia y riesgo máximo.</w:t>
      </w:r>
    </w:p>
    <w:p>
      <w:pPr>
        <w:pStyle w:val="ListBullet"/>
      </w:pPr>
      <w:r>
        <w:t>Las opciones críticas C41, C42, C55 y C56 deben permanecer visibles cuando sean aplicables al circuito del cliente.</w:t>
      </w:r>
    </w:p>
    <w:p>
      <w:pPr>
        <w:pStyle w:val="ListBullet"/>
      </w:pPr>
      <w:r>
        <w:t>El formulario de facturas y las rutas deben seleccionarse mediante sus botones auxiliares; no escriba valores sin conocer su correspondencia.</w:t>
      </w:r>
    </w:p>
    <w:p>
      <w:pPr>
        <w:pStyle w:val="ListBullet"/>
      </w:pPr>
      <w:r>
        <w:t>La activación de puntos en Configuración general no basta: también debe habilitarse en esta ficha.</w:t>
      </w:r>
    </w:p>
    <w:p>
      <w:pPr>
        <w:pStyle w:val="Heading2"/>
      </w:pPr>
      <w:r>
        <w:t>3.5 Selectores de formulario, rutas y subrutas</w:t>
      </w:r>
    </w:p>
    <w:p>
      <w:pPr>
        <w:pStyle w:val="BodyText"/>
      </w:pPr>
      <w:r>
        <w:t>Los botones auxiliares abren selectores que permiten elegir valores válidos sin memorizar códigos. En los grids, una flecha en la cabecera indica la columna y el sentido de ordenación.</w:t>
      </w:r>
    </w:p>
    <w:p>
      <w:pPr>
        <w:jc w:val="center"/>
      </w:pPr>
      <w:r>
        <w:drawing>
          <wp:inline xmlns:a="http://schemas.openxmlformats.org/drawingml/2006/main" xmlns:pic="http://schemas.openxmlformats.org/drawingml/2006/picture">
            <wp:extent cx="5688000" cy="3116834"/>
            <wp:docPr id="28" name="Picture 28" descr="Selector de rutas y subrutas de facturación con cuatro zonas numeradas"/>
            <wp:cNvGraphicFramePr>
              <a:graphicFrameLocks noChangeAspect="1"/>
            </wp:cNvGraphicFramePr>
            <a:graphic>
              <a:graphicData uri="http://schemas.openxmlformats.org/drawingml/2006/picture">
                <pic:pic>
                  <pic:nvPicPr>
                    <pic:cNvPr id="0" name="03_selector_rutas_anotado.png"/>
                    <pic:cNvPicPr/>
                  </pic:nvPicPr>
                  <pic:blipFill>
                    <a:blip r:embed="rId43"/>
                    <a:stretch>
                      <a:fillRect/>
                    </a:stretch>
                  </pic:blipFill>
                  <pic:spPr>
                    <a:xfrm>
                      <a:off x="0" y="0"/>
                      <a:ext cx="5688000" cy="3116834"/>
                    </a:xfrm>
                    <a:prstGeom prst="rect"/>
                  </pic:spPr>
                </pic:pic>
              </a:graphicData>
            </a:graphic>
          </wp:inline>
        </w:drawing>
      </w:r>
    </w:p>
    <w:p>
      <w:pPr>
        <w:pStyle w:val="Caption"/>
        <w:jc w:val="center"/>
      </w:pPr>
      <w:r>
        <w:t>Figura 3.3. Selector de rutas y subrutas de facturación.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835"/>
            <w:vAlign w:val="center"/>
            <w:tcMar>
              <w:top w:w="80" w:type="dxa"/>
              <w:start w:w="100" w:type="dxa"/>
              <w:bottom w:w="80" w:type="dxa"/>
              <w:end w:w="100" w:type="dxa"/>
            </w:tcMar>
            <w:shd w:fill="155E75"/>
          </w:tcPr>
          <w:p>
            <w:pPr>
              <w:spacing w:after="0"/>
            </w:pPr>
            <w:r>
              <w:rPr>
                <w:b/>
                <w:color w:val="FFFFFF"/>
                <w:sz w:val="17"/>
              </w:rPr>
              <w:t>Elemento</w:t>
            </w:r>
          </w:p>
        </w:tc>
        <w:tc>
          <w:tcPr>
            <w:tcW w:type="dxa" w:w="5783"/>
            <w:vAlign w:val="center"/>
            <w:tcMar>
              <w:top w:w="80" w:type="dxa"/>
              <w:start w:w="100" w:type="dxa"/>
              <w:bottom w:w="80" w:type="dxa"/>
              <w:end w:w="100" w:type="dxa"/>
            </w:tcMar>
            <w:shd w:fill="155E75"/>
          </w:tcPr>
          <w:p>
            <w:pPr>
              <w:spacing w:after="0"/>
            </w:pPr>
            <w:r>
              <w:rPr>
                <w:b/>
                <w:color w:val="FFFFFF"/>
                <w:sz w:val="17"/>
              </w:rPr>
              <w:t>Uso</w:t>
            </w:r>
          </w:p>
        </w:tc>
      </w:tr>
      <w:tr>
        <w:tc>
          <w:tcPr>
            <w:tcW w:type="dxa" w:w="567"/>
            <w:vAlign w:val="center"/>
            <w:tcMar>
              <w:top w:w="80" w:type="dxa"/>
              <w:start w:w="100" w:type="dxa"/>
              <w:bottom w:w="80" w:type="dxa"/>
              <w:end w:w="100" w:type="dxa"/>
            </w:tcMar>
          </w:tcPr>
          <w:p>
            <w:pPr>
              <w:spacing w:after="0"/>
            </w:pPr>
            <w:r>
              <w:rPr>
                <w:sz w:val="17"/>
              </w:rPr>
              <w:t>1</w:t>
            </w:r>
          </w:p>
        </w:tc>
        <w:tc>
          <w:tcPr>
            <w:tcW w:type="dxa" w:w="2835"/>
            <w:vAlign w:val="center"/>
            <w:tcMar>
              <w:top w:w="80" w:type="dxa"/>
              <w:start w:w="100" w:type="dxa"/>
              <w:bottom w:w="80" w:type="dxa"/>
              <w:end w:w="100" w:type="dxa"/>
            </w:tcMar>
          </w:tcPr>
          <w:p>
            <w:pPr>
              <w:spacing w:after="0"/>
            </w:pPr>
            <w:r>
              <w:rPr>
                <w:sz w:val="17"/>
              </w:rPr>
              <w:t>Rutas de facturación</w:t>
            </w:r>
          </w:p>
        </w:tc>
        <w:tc>
          <w:tcPr>
            <w:tcW w:type="dxa" w:w="5783"/>
            <w:vAlign w:val="center"/>
            <w:tcMar>
              <w:top w:w="80" w:type="dxa"/>
              <w:start w:w="100" w:type="dxa"/>
              <w:bottom w:w="80" w:type="dxa"/>
              <w:end w:w="100" w:type="dxa"/>
            </w:tcMar>
          </w:tcPr>
          <w:p>
            <w:pPr>
              <w:spacing w:after="0"/>
            </w:pPr>
            <w:r>
              <w:rPr>
                <w:sz w:val="17"/>
              </w:rPr>
              <w:t>Listado principal de rutas disponibles.</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835"/>
            <w:vAlign w:val="center"/>
            <w:tcMar>
              <w:top w:w="80" w:type="dxa"/>
              <w:start w:w="100" w:type="dxa"/>
              <w:bottom w:w="80" w:type="dxa"/>
              <w:end w:w="100" w:type="dxa"/>
            </w:tcMar>
            <w:shd w:fill="EEF5F7"/>
          </w:tcPr>
          <w:p>
            <w:pPr>
              <w:spacing w:after="0"/>
            </w:pPr>
            <w:r>
              <w:rPr>
                <w:sz w:val="17"/>
              </w:rPr>
              <w:t>Subrutas</w:t>
            </w:r>
          </w:p>
        </w:tc>
        <w:tc>
          <w:tcPr>
            <w:tcW w:type="dxa" w:w="5783"/>
            <w:vAlign w:val="center"/>
            <w:tcMar>
              <w:top w:w="80" w:type="dxa"/>
              <w:start w:w="100" w:type="dxa"/>
              <w:bottom w:w="80" w:type="dxa"/>
              <w:end w:w="100" w:type="dxa"/>
            </w:tcMar>
            <w:shd w:fill="EEF5F7"/>
          </w:tcPr>
          <w:p>
            <w:pPr>
              <w:spacing w:after="0"/>
            </w:pPr>
            <w:r>
              <w:rPr>
                <w:sz w:val="17"/>
              </w:rPr>
              <w:t>Valores dependientes de la ruta seleccionada.</w:t>
            </w:r>
          </w:p>
        </w:tc>
      </w:tr>
      <w:tr>
        <w:tc>
          <w:tcPr>
            <w:tcW w:type="dxa" w:w="567"/>
            <w:vAlign w:val="center"/>
            <w:tcMar>
              <w:top w:w="80" w:type="dxa"/>
              <w:start w:w="100" w:type="dxa"/>
              <w:bottom w:w="80" w:type="dxa"/>
              <w:end w:w="100" w:type="dxa"/>
            </w:tcMar>
          </w:tcPr>
          <w:p>
            <w:pPr>
              <w:spacing w:after="0"/>
            </w:pPr>
            <w:r>
              <w:rPr>
                <w:sz w:val="17"/>
              </w:rPr>
              <w:t>3</w:t>
            </w:r>
          </w:p>
        </w:tc>
        <w:tc>
          <w:tcPr>
            <w:tcW w:type="dxa" w:w="2835"/>
            <w:vAlign w:val="center"/>
            <w:tcMar>
              <w:top w:w="80" w:type="dxa"/>
              <w:start w:w="100" w:type="dxa"/>
              <w:bottom w:w="80" w:type="dxa"/>
              <w:end w:w="100" w:type="dxa"/>
            </w:tcMar>
          </w:tcPr>
          <w:p>
            <w:pPr>
              <w:spacing w:after="0"/>
            </w:pPr>
            <w:r>
              <w:rPr>
                <w:sz w:val="17"/>
              </w:rPr>
              <w:t>Aceptar</w:t>
            </w:r>
          </w:p>
        </w:tc>
        <w:tc>
          <w:tcPr>
            <w:tcW w:type="dxa" w:w="5783"/>
            <w:vAlign w:val="center"/>
            <w:tcMar>
              <w:top w:w="80" w:type="dxa"/>
              <w:start w:w="100" w:type="dxa"/>
              <w:bottom w:w="80" w:type="dxa"/>
              <w:end w:w="100" w:type="dxa"/>
            </w:tcMar>
          </w:tcPr>
          <w:p>
            <w:pPr>
              <w:spacing w:after="0"/>
            </w:pPr>
            <w:r>
              <w:rPr>
                <w:sz w:val="17"/>
              </w:rPr>
              <w:t>Guarda la selección y vuelve a la ficha.</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835"/>
            <w:vAlign w:val="center"/>
            <w:tcMar>
              <w:top w:w="80" w:type="dxa"/>
              <w:start w:w="100" w:type="dxa"/>
              <w:bottom w:w="80" w:type="dxa"/>
              <w:end w:w="100" w:type="dxa"/>
            </w:tcMar>
            <w:shd w:fill="EEF5F7"/>
          </w:tcPr>
          <w:p>
            <w:pPr>
              <w:spacing w:after="0"/>
            </w:pPr>
            <w:r>
              <w:rPr>
                <w:sz w:val="17"/>
              </w:rPr>
              <w:t>Salir</w:t>
            </w:r>
          </w:p>
        </w:tc>
        <w:tc>
          <w:tcPr>
            <w:tcW w:type="dxa" w:w="5783"/>
            <w:vAlign w:val="center"/>
            <w:tcMar>
              <w:top w:w="80" w:type="dxa"/>
              <w:start w:w="100" w:type="dxa"/>
              <w:bottom w:w="80" w:type="dxa"/>
              <w:end w:w="100" w:type="dxa"/>
            </w:tcMar>
            <w:shd w:fill="EEF5F7"/>
          </w:tcPr>
          <w:p>
            <w:pPr>
              <w:spacing w:after="0"/>
            </w:pPr>
            <w:r>
              <w:rPr>
                <w:sz w:val="17"/>
              </w:rPr>
              <w:t>Cierra el selector sin aplicar una selección nueva.</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SELECCIÓN SEGURA  </w:t>
            </w:r>
            <w:r>
              <w:t>Antes de pulsar Aceptar, confirme la fila resaltada tanto en Ruta como en Subruta. El selector debe cerrarse antes de utilizar ESC para abandonar la ficha principal.</w:t>
            </w:r>
          </w:p>
        </w:tc>
      </w:tr>
    </w:tbl>
    <w:p>
      <w:pPr>
        <w:pStyle w:val="Heading2"/>
      </w:pPr>
      <w:r>
        <w:t>3.6 Cliente a precio de coste / autoconsumo</w:t>
      </w:r>
    </w:p>
    <w:p>
      <w:pPr>
        <w:jc w:val="center"/>
      </w:pPr>
      <w:r>
        <w:drawing>
          <wp:inline xmlns:a="http://schemas.openxmlformats.org/drawingml/2006/main" xmlns:pic="http://schemas.openxmlformats.org/drawingml/2006/picture">
            <wp:extent cx="2700000" cy="1410000"/>
            <wp:docPr id="29" name="Picture 29" descr="Opción de cliente a precio de coste marcada con el número uno"/>
            <wp:cNvGraphicFramePr>
              <a:graphicFrameLocks noChangeAspect="1"/>
            </wp:cNvGraphicFramePr>
            <a:graphic>
              <a:graphicData uri="http://schemas.openxmlformats.org/drawingml/2006/picture">
                <pic:pic>
                  <pic:nvPicPr>
                    <pic:cNvPr id="0" name="04_precio_coste_cliente_anotado.png"/>
                    <pic:cNvPicPr/>
                  </pic:nvPicPr>
                  <pic:blipFill>
                    <a:blip r:embed="rId44"/>
                    <a:stretch>
                      <a:fillRect/>
                    </a:stretch>
                  </pic:blipFill>
                  <pic:spPr>
                    <a:xfrm>
                      <a:off x="0" y="0"/>
                      <a:ext cx="2700000" cy="1410000"/>
                    </a:xfrm>
                    <a:prstGeom prst="rect"/>
                  </pic:spPr>
                </pic:pic>
              </a:graphicData>
            </a:graphic>
          </wp:inline>
        </w:drawing>
      </w:r>
    </w:p>
    <w:p>
      <w:pPr>
        <w:pStyle w:val="Caption"/>
        <w:jc w:val="center"/>
      </w:pPr>
      <w:r>
        <w:t>Figura 3.4. Opción Usar precio de coste en Ventas, asociada a C57.</w:t>
      </w:r>
    </w:p>
    <w:p>
      <w:pPr>
        <w:pStyle w:val="BodyText"/>
      </w:pPr>
      <w:r>
        <w:t>Cuando está activada, Ventas utiliza A24 como base sin IVA y aplica el IVA correspondiente al artículo. La opción no elimina el impuesto. Si el artículo no tiene coste válido, debe conservarse el precio normal para evitar una línea sin importe o incoherente.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CONTROL FISCAL  </w:t>
            </w:r>
            <w:r>
              <w:t>Utilice esta opción únicamente para los clientes previstos, como autoconsumo. Compruebe en una venta de prueba el PVP resultante, IVA, descuentos, estadísticas y documento emitido antes de generalizar su uso.</w:t>
            </w:r>
          </w:p>
        </w:tc>
      </w:tr>
    </w:tbl>
    <w:p>
      <w:pPr>
        <w:pStyle w:val="Heading2"/>
      </w:pPr>
      <w:r>
        <w:t>3.7 Búsqueda y coincidencias de NIF</w:t>
      </w:r>
    </w:p>
    <w:p>
      <w:pPr>
        <w:pStyle w:val="BodyText"/>
      </w:pPr>
      <w:r>
        <w:t>Cuando un NIF coincide con más de una ficha, FacturLinEx debe mostrar todas las coincidencias para que el usuario seleccione la entidad correcta. No debe elegirse automáticamente el primer registro.</w:t>
      </w:r>
    </w:p>
    <w:p>
      <w:pPr>
        <w:pStyle w:val="ListBullet"/>
      </w:pPr>
      <w:r>
        <w:t>Compare nombre o razón social, dirección, centro, departamento y código interno.</w:t>
      </w:r>
    </w:p>
    <w:p>
      <w:pPr>
        <w:pStyle w:val="ListBullet"/>
      </w:pPr>
      <w:r>
        <w:t>Este caso es habitual en entidades públicas, delegaciones, grupos relacionados o fichas históricas.</w:t>
      </w:r>
    </w:p>
    <w:p>
      <w:pPr>
        <w:pStyle w:val="ListBullet"/>
      </w:pPr>
      <w:r>
        <w:t>Si la coincidencia es un duplicado real, revise documentos y saldos antes de decidir qué ficha conservar.</w:t>
      </w:r>
    </w:p>
    <w:p>
      <w:pPr>
        <w:pStyle w:val="ListBullet"/>
      </w:pPr>
      <w:r>
        <w:t>La normalización del NIF evita diferencias artificiales por espacios, guiones, puntos o mayúsculas.</w:t>
      </w:r>
    </w:p>
    <w:p>
      <w:pPr>
        <w:pStyle w:val="Heading2"/>
      </w:pPr>
      <w:r>
        <w:t>3.8 Bancos, histórico, estadísticas, gráficas y tienda virtual</w:t>
      </w:r>
    </w:p>
    <w:p>
      <w:pPr>
        <w:pStyle w:val="BodyText"/>
      </w:pPr>
      <w:r>
        <w:t>Las pestañas adicionales permiten consultar o mantener información relacionada sin abandonar la ficha. Bancos recoge datos de cobro; Histórico y Estadísticas ayudan a estudiar la relación comercial; Gráficas facilita la interpretación visual; y Tienda virtual agrupa datos destinados a ese canal cuando está configurado.</w:t>
      </w:r>
    </w:p>
    <w:p>
      <w:pPr>
        <w:pStyle w:val="ListBullet"/>
      </w:pPr>
      <w:r>
        <w:t>Utilice los históricos para consultar, no para sustituir la trazabilidad de los documentos originales.</w:t>
      </w:r>
    </w:p>
    <w:p>
      <w:pPr>
        <w:pStyle w:val="ListBullet"/>
      </w:pPr>
      <w:r>
        <w:t>En grids ordenables, pulse la cabecera y compruebe la flecha de ordenación.</w:t>
      </w:r>
    </w:p>
    <w:p>
      <w:pPr>
        <w:pStyle w:val="ListBullet"/>
      </w:pPr>
      <w:r>
        <w:t>Evite publicar datos incompletos en la tienda virtual.</w:t>
      </w:r>
    </w:p>
    <w:p>
      <w:pPr>
        <w:pStyle w:val="ListBullet"/>
      </w:pPr>
      <w:r>
        <w:t>Antes de cambiar datos bancarios, confirme autorización y documentación del cliente.</w:t>
      </w:r>
    </w:p>
    <w:p>
      <w:pPr>
        <w:pStyle w:val="Heading2"/>
      </w:pPr>
      <w:r>
        <w:t>3.9 Modificación, borrado y trazabilidad</w:t>
      </w:r>
    </w:p>
    <w:p>
      <w:pPr>
        <w:pStyle w:val="BodyText"/>
      </w:pPr>
      <w:r>
        <w:t>Antes de modificar datos fiscales o comerciales, revise si existen documentos pendientes, créditos, albaranes o facturas relacionadas. El borrado físico puede romper consultas, estadísticas y trazabilidad; debe reservarse para fichas creadas por error y sin movimientos asociados.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PRECAUCIÓN  </w:t>
            </w:r>
            <w:r>
              <w:t>Cuando exista histórico, es preferible corregir o desactivar la ficha según el procedimiento del negocio antes que eliminarla. Conserve copia de seguridad antes de cualquier limpieza masiva.</w:t>
            </w:r>
          </w:p>
        </w:tc>
      </w:tr>
    </w:tbl>
    <w:p>
      <w:pPr>
        <w:pStyle w:val="Heading2"/>
      </w:pPr>
      <w:r>
        <w:t>3.10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foco entra en Código y el nombre del cliente activo coincide con la ficha esperada.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El NIF está normalizado y se han revisado posibles coincidencias.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Nombre, dirección, población, provincia, código postal, teléfono y correo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Forma de pago, plazos, descuentos, tarifa, recargo y riesgo están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Formulario de facturas, ruta y subruta corresponden al circuito real.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opciones C41, C42, C55, C56 y C57 se han comprobado cuando son aplicables.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sistema de puntos está activado o desactivado de forma coherente.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selectores muestran texto legible y ordenan por cabecera con flecha.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Modificar guarda únicamente los cambios previstos.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ediciones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FICHA PREPARADA  </w:t>
            </w:r>
            <w:r>
              <w:t>La ficha puede utilizarse en Ventas y Facturación cuando los datos fiscales, comerciales, rutas y opciones especiales han quedado comprobados.</w:t>
            </w:r>
          </w:p>
        </w:tc>
      </w:tr>
    </w:tbl>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ficha modernizada hasta articulos_moderno_v5_puntos_ampliados.pas. Como no se dispone de una captura directa de ejecución de esa revisión, las figuras 4.1 a 4.3 son reconstrucciones documentales fieles y se identifican expresamente. Las figuras 4.4 y 4.5 son capturas reales compatibles.</w:t>
            </w:r>
          </w:p>
        </w:tc>
      </w:tr>
    </w:tbl>
    <w:p>
      <w:pPr>
        <w:pStyle w:val="Heading2"/>
      </w:pPr>
      <w:r>
        <w:t>4.1 Objetivo y visión general</w:t>
      </w:r>
    </w:p>
    <w:p>
      <w:pPr>
        <w:pStyle w:val="BodyText"/>
      </w:pPr>
      <w:r>
        <w:t>La ficha de Artículos concentra los datos comerciales y logísticos del producto: descripción, IVA, precios, existencias, familia, proveedor, imagen, códigos auxiliares, costes, tarifas, compras, estadísticas y puntos. Un dato incorrecto puede repercutir simultáneamente en Ventas, pedidos, márgenes, informes y reposición.</w:t>
      </w:r>
    </w:p>
    <w:p>
      <w:pPr>
        <w:jc w:val="center"/>
      </w:pPr>
      <w:r>
        <w:drawing>
          <wp:inline xmlns:a="http://schemas.openxmlformats.org/drawingml/2006/main" xmlns:pic="http://schemas.openxmlformats.org/drawingml/2006/picture">
            <wp:extent cx="5903999" cy="3320999"/>
            <wp:docPr id="30" name="Picture 30" descr="Reconstrucción documental de la ficha general de Artículos con seis zonas numeradas"/>
            <wp:cNvGraphicFramePr>
              <a:graphicFrameLocks noChangeAspect="1"/>
            </wp:cNvGraphicFramePr>
            <a:graphic>
              <a:graphicData uri="http://schemas.openxmlformats.org/drawingml/2006/picture">
                <pic:pic>
                  <pic:nvPicPr>
                    <pic:cNvPr id="0" name="01_articulos_general_reconstruccion_anotada.png"/>
                    <pic:cNvPicPr/>
                  </pic:nvPicPr>
                  <pic:blipFill>
                    <a:blip r:embed="rId45"/>
                    <a:stretch>
                      <a:fillRect/>
                    </a:stretch>
                  </pic:blipFill>
                  <pic:spPr>
                    <a:xfrm>
                      <a:off x="0" y="0"/>
                      <a:ext cx="5903999" cy="3320999"/>
                    </a:xfrm>
                    <a:prstGeom prst="rect"/>
                  </pic:spPr>
                </pic:pic>
              </a:graphicData>
            </a:graphic>
          </wp:inline>
        </w:drawing>
      </w:r>
    </w:p>
    <w:p>
      <w:pPr>
        <w:pStyle w:val="Caption"/>
        <w:jc w:val="center"/>
      </w:pPr>
      <w:r>
        <w:t>Figura 4.1. Reconstrucción documental de la ficha general moderna. Los cuadros y números identifican las zonas descritas en la tabla.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6293"/>
            <w:vAlign w:val="center"/>
            <w:tcMar>
              <w:top w:w="80" w:type="dxa"/>
              <w:start w:w="100" w:type="dxa"/>
              <w:bottom w:w="80" w:type="dxa"/>
              <w:end w:w="100" w:type="dxa"/>
            </w:tcMar>
            <w:shd w:fill="155E75"/>
          </w:tcPr>
          <w:p>
            <w:pPr>
              <w:spacing w:after="0"/>
            </w:pPr>
            <w:r>
              <w:rPr>
                <w:b/>
                <w:color w:val="FFFFFF"/>
                <w:sz w:val="16"/>
              </w:rPr>
              <w:t>Uso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Artículo activo</w:t>
            </w:r>
          </w:p>
        </w:tc>
        <w:tc>
          <w:tcPr>
            <w:tcW w:type="dxa" w:w="6293"/>
            <w:vAlign w:val="center"/>
            <w:tcMar>
              <w:top w:w="80" w:type="dxa"/>
              <w:start w:w="100" w:type="dxa"/>
              <w:bottom w:w="80" w:type="dxa"/>
              <w:end w:w="100" w:type="dxa"/>
            </w:tcMar>
          </w:tcPr>
          <w:p>
            <w:pPr>
              <w:spacing w:after="0"/>
            </w:pPr>
            <w:r>
              <w:rPr>
                <w:sz w:val="16"/>
              </w:rPr>
              <w:t>Código, creación y nombre del artículo cargado.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Pestañas</w:t>
            </w:r>
          </w:p>
        </w:tc>
        <w:tc>
          <w:tcPr>
            <w:tcW w:type="dxa" w:w="6293"/>
            <w:vAlign w:val="center"/>
            <w:tcMar>
              <w:top w:w="80" w:type="dxa"/>
              <w:start w:w="100" w:type="dxa"/>
              <w:bottom w:w="80" w:type="dxa"/>
              <w:end w:w="100" w:type="dxa"/>
            </w:tcMar>
            <w:shd w:fill="EEF5F7"/>
          </w:tcPr>
          <w:p>
            <w:pPr>
              <w:spacing w:after="0"/>
            </w:pPr>
            <w:r>
              <w:rPr>
                <w:sz w:val="16"/>
              </w:rPr>
              <w:t>General, Costes y tarifas, Códigos auxiliares, compras, estadísticas y gráficas.</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Datos y existencias</w:t>
            </w:r>
          </w:p>
        </w:tc>
        <w:tc>
          <w:tcPr>
            <w:tcW w:type="dxa" w:w="6293"/>
            <w:vAlign w:val="center"/>
            <w:tcMar>
              <w:top w:w="80" w:type="dxa"/>
              <w:start w:w="100" w:type="dxa"/>
              <w:bottom w:w="80" w:type="dxa"/>
              <w:end w:w="100" w:type="dxa"/>
            </w:tcMar>
          </w:tcPr>
          <w:p>
            <w:pPr>
              <w:spacing w:after="0"/>
            </w:pPr>
            <w:r>
              <w:rPr>
                <w:sz w:val="16"/>
              </w:rPr>
              <w:t>Descripción, IVA, precios, descuentos, stocks y fechas operativas.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Imagen y tienda virtual</w:t>
            </w:r>
          </w:p>
        </w:tc>
        <w:tc>
          <w:tcPr>
            <w:tcW w:type="dxa" w:w="6293"/>
            <w:vAlign w:val="center"/>
            <w:tcMar>
              <w:top w:w="80" w:type="dxa"/>
              <w:start w:w="100" w:type="dxa"/>
              <w:bottom w:w="80" w:type="dxa"/>
              <w:end w:w="100" w:type="dxa"/>
            </w:tcMar>
            <w:shd w:fill="EEF5F7"/>
          </w:tcPr>
          <w:p>
            <w:pPr>
              <w:spacing w:after="0"/>
            </w:pPr>
            <w:r>
              <w:rPr>
                <w:sz w:val="16"/>
              </w:rPr>
              <w:t>Ruta de la fotografía y publicación en el canal virtual.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Clasificación y observaciones</w:t>
            </w:r>
          </w:p>
        </w:tc>
        <w:tc>
          <w:tcPr>
            <w:tcW w:type="dxa" w:w="6293"/>
            <w:vAlign w:val="center"/>
            <w:tcMar>
              <w:top w:w="80" w:type="dxa"/>
              <w:start w:w="100" w:type="dxa"/>
              <w:bottom w:w="80" w:type="dxa"/>
              <w:end w:w="100" w:type="dxa"/>
            </w:tcMar>
          </w:tcPr>
          <w:p>
            <w:pPr>
              <w:spacing w:after="0"/>
            </w:pPr>
            <w:r>
              <w:rPr>
                <w:sz w:val="16"/>
              </w:rPr>
              <w:t>Fabricante, ubicación, familia, envase y notas.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Acciones</w:t>
            </w:r>
          </w:p>
        </w:tc>
        <w:tc>
          <w:tcPr>
            <w:tcW w:type="dxa" w:w="6293"/>
            <w:vAlign w:val="center"/>
            <w:tcMar>
              <w:top w:w="80" w:type="dxa"/>
              <w:start w:w="100" w:type="dxa"/>
              <w:bottom w:w="80" w:type="dxa"/>
              <w:end w:w="100" w:type="dxa"/>
            </w:tcMar>
            <w:shd w:fill="EEF5F7"/>
          </w:tcPr>
          <w:p>
            <w:pPr>
              <w:spacing w:after="0"/>
            </w:pPr>
            <w:r>
              <w:rPr>
                <w:sz w:val="16"/>
              </w:rPr>
              <w:t>Nuevo, Modificar, Borrar, Anterior, Siguiente y Cerrar.</w:t>
            </w:r>
          </w:p>
        </w:tc>
      </w:tr>
    </w:tbl>
    <w:p>
      <w:pPr>
        <w:pStyle w:val="Heading2"/>
      </w:pPr>
      <w:r>
        <w:t>4.2 Acceso, alta y navegación</w:t>
      </w:r>
    </w:p>
    <w:p>
      <w:pPr>
        <w:pStyle w:val="BodyText"/>
      </w:pPr>
      <w:r>
        <w:t>Al abrir Artículos, el foco debe situarse en Código. Desde ese campo puede consultarse un artículo existente o comenzar una nueva ficha. La cabecera sirve de comprobación permanente: antes de modificar, asegúrese de que código y descripción corresponden al producto correcto.</w:t>
      </w:r>
    </w:p>
    <w:p>
      <w:pPr>
        <w:pStyle w:val="BodyText"/>
      </w:pPr>
      <w:r>
        <w:t>1. Introduzca el código principal o utilice la búsqueda cuando no lo conozca.</w:t>
      </w:r>
    </w:p>
    <w:p>
      <w:pPr>
        <w:pStyle w:val="BodyText"/>
      </w:pPr>
      <w:r>
        <w:t>2. Compruebe la descripción mostrada en Artículo activo.</w:t>
      </w:r>
    </w:p>
    <w:p>
      <w:pPr>
        <w:pStyle w:val="BodyText"/>
      </w:pPr>
      <w:r>
        <w:t>3. Para un alta, verifique antes que el artículo no exista con otro código o EAN.</w:t>
      </w:r>
    </w:p>
    <w:p>
      <w:pPr>
        <w:pStyle w:val="BodyText"/>
      </w:pPr>
      <w:r>
        <w:t>4. Complete al menos descripción, IVA, PVP, familia, proveedor y datos de compra necesarios.</w:t>
      </w:r>
    </w:p>
    <w:p>
      <w:pPr>
        <w:pStyle w:val="BodyText"/>
      </w:pPr>
      <w:r>
        <w:t>5. Pulse Modificar para guardar y revise de nuevo los valores calculados.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CÓDIGO PRINCIPAL  </w:t>
            </w:r>
            <w:r>
              <w:t>El código A0 identifica el artículo en artitien+tienda. No debe confundirse con los EAN auxiliares. Evite cambiar códigos de artículos que ya tengan ventas, compras o históricos asociados.</w:t>
            </w:r>
          </w:p>
        </w:tc>
      </w:tr>
    </w:tbl>
    <w:p>
      <w:pPr>
        <w:pStyle w:val="Heading2"/>
      </w:pPr>
      <w:r>
        <w:t>4.3 Datos generales, existencias y clasificación</w:t>
      </w:r>
    </w:p>
    <w:p>
      <w:pPr>
        <w:pStyle w:val="ListBullet"/>
      </w:pPr>
      <w:r>
        <w:t>Descripción: debe ser clara, estable y útil tanto en pantalla como en documentos impresos.</w:t>
      </w:r>
    </w:p>
    <w:p>
      <w:pPr>
        <w:pStyle w:val="ListBullet"/>
      </w:pPr>
      <w:r>
        <w:t>IVA: afecta al PVP final, facturación, estadísticas y VeriFactu; revise el tipo antes de vender.</w:t>
      </w:r>
    </w:p>
    <w:p>
      <w:pPr>
        <w:pStyle w:val="ListBullet"/>
      </w:pPr>
      <w:r>
        <w:t>PVP y descuentos: compruebe que no produzcan un precio inferior al coste salvo decisión consciente.</w:t>
      </w:r>
    </w:p>
    <w:p>
      <w:pPr>
        <w:pStyle w:val="ListBullet"/>
      </w:pPr>
      <w:r>
        <w:t>Stock actual, mínimo y máximo: son referencias para inventario y reposición; si el stock histórico no es fiable, no deben tratarse como una verdad absoluta.</w:t>
      </w:r>
    </w:p>
    <w:p>
      <w:pPr>
        <w:pStyle w:val="ListBullet"/>
      </w:pPr>
      <w:r>
        <w:t>Familia y proveedor: alimentan filtros, pedidos automáticos, estadísticas y análisis.</w:t>
      </w:r>
    </w:p>
    <w:p>
      <w:pPr>
        <w:pStyle w:val="ListBullet"/>
      </w:pPr>
      <w:r>
        <w:t>Fabricante, ubicación y envase: facilitan búsqueda, logística y trabajo en almacén.</w:t>
      </w:r>
    </w:p>
    <w:p>
      <w:pPr>
        <w:pStyle w:val="ListBullet"/>
      </w:pPr>
      <w:r>
        <w:t>Imagen y tienda virtual: compruebe la ruta y no publique una ficha incompleta.</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CALIDAD DE DATOS  </w:t>
            </w:r>
            <w:r>
              <w:t>Una familia inexistente, un proveedor incorrecto o un IVA mal asignado se propagan a pedidos, listados, márgenes y documentos. Corrija la ficha en origen y conserve trazabilidad del cambio.</w:t>
            </w:r>
          </w:p>
        </w:tc>
      </w:tr>
    </w:tbl>
    <w:p>
      <w:pPr>
        <w:pStyle w:val="Heading2"/>
      </w:pPr>
      <w:r>
        <w:t>4.4 Costes, compras y tarifas de venta</w:t>
      </w:r>
    </w:p>
    <w:p>
      <w:pPr>
        <w:jc w:val="center"/>
      </w:pPr>
      <w:r>
        <w:drawing>
          <wp:inline xmlns:a="http://schemas.openxmlformats.org/drawingml/2006/main" xmlns:pic="http://schemas.openxmlformats.org/drawingml/2006/picture">
            <wp:extent cx="5903999" cy="3320999"/>
            <wp:docPr id="31" name="Picture 31" descr="Reconstrucción documental de Costes y tarifas con seis zonas numeradas"/>
            <wp:cNvGraphicFramePr>
              <a:graphicFrameLocks noChangeAspect="1"/>
            </wp:cNvGraphicFramePr>
            <a:graphic>
              <a:graphicData uri="http://schemas.openxmlformats.org/drawingml/2006/picture">
                <pic:pic>
                  <pic:nvPicPr>
                    <pic:cNvPr id="0" name="02_articulos_costes_tarifas_reconstruccion_anotada.png"/>
                    <pic:cNvPicPr/>
                  </pic:nvPicPr>
                  <pic:blipFill>
                    <a:blip r:embed="rId46"/>
                    <a:stretch>
                      <a:fillRect/>
                    </a:stretch>
                  </pic:blipFill>
                  <pic:spPr>
                    <a:xfrm>
                      <a:off x="0" y="0"/>
                      <a:ext cx="5903999" cy="3320999"/>
                    </a:xfrm>
                    <a:prstGeom prst="rect"/>
                  </pic:spPr>
                </pic:pic>
              </a:graphicData>
            </a:graphic>
          </wp:inline>
        </w:drawing>
      </w:r>
    </w:p>
    <w:p>
      <w:pPr>
        <w:pStyle w:val="Caption"/>
        <w:jc w:val="center"/>
      </w:pPr>
      <w:r>
        <w:t>Figura 4.2. Reconstrucción documental de Costes y tarifas. Precio de coste queda dentro de Datos de compras y Nivel de puntos dispone de espacio explicativo.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551"/>
            <w:vAlign w:val="center"/>
            <w:tcMar>
              <w:top w:w="80" w:type="dxa"/>
              <w:start w:w="100" w:type="dxa"/>
              <w:bottom w:w="80" w:type="dxa"/>
              <w:end w:w="100" w:type="dxa"/>
            </w:tcMar>
            <w:shd w:fill="155E75"/>
          </w:tcPr>
          <w:p>
            <w:pPr>
              <w:spacing w:after="0"/>
            </w:pPr>
            <w:r>
              <w:rPr>
                <w:b/>
                <w:color w:val="FFFFFF"/>
                <w:sz w:val="16"/>
              </w:rPr>
              <w:t>Zona</w:t>
            </w:r>
          </w:p>
        </w:tc>
        <w:tc>
          <w:tcPr>
            <w:tcW w:type="dxa" w:w="6066"/>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551"/>
            <w:vAlign w:val="center"/>
            <w:tcMar>
              <w:top w:w="80" w:type="dxa"/>
              <w:start w:w="100" w:type="dxa"/>
              <w:bottom w:w="80" w:type="dxa"/>
              <w:end w:w="100" w:type="dxa"/>
            </w:tcMar>
          </w:tcPr>
          <w:p>
            <w:pPr>
              <w:spacing w:after="0"/>
            </w:pPr>
            <w:r>
              <w:rPr>
                <w:sz w:val="16"/>
              </w:rPr>
              <w:t>Datos de compras</w:t>
            </w:r>
          </w:p>
        </w:tc>
        <w:tc>
          <w:tcPr>
            <w:tcW w:type="dxa" w:w="6066"/>
            <w:vAlign w:val="center"/>
            <w:tcMar>
              <w:top w:w="80" w:type="dxa"/>
              <w:start w:w="100" w:type="dxa"/>
              <w:bottom w:w="80" w:type="dxa"/>
              <w:end w:w="100" w:type="dxa"/>
            </w:tcMar>
          </w:tcPr>
          <w:p>
            <w:pPr>
              <w:spacing w:after="0"/>
            </w:pPr>
            <w:r>
              <w:rPr>
                <w:sz w:val="16"/>
              </w:rPr>
              <w:t>Precio, IVA de compra, unidades por caja, descuentos y precio de coste A24.</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551"/>
            <w:vAlign w:val="center"/>
            <w:tcMar>
              <w:top w:w="80" w:type="dxa"/>
              <w:start w:w="100" w:type="dxa"/>
              <w:bottom w:w="80" w:type="dxa"/>
              <w:end w:w="100" w:type="dxa"/>
            </w:tcMar>
            <w:shd w:fill="EEF5F7"/>
          </w:tcPr>
          <w:p>
            <w:pPr>
              <w:spacing w:after="0"/>
            </w:pPr>
            <w:r>
              <w:rPr>
                <w:sz w:val="16"/>
              </w:rPr>
              <w:t>Datos de ventas</w:t>
            </w:r>
          </w:p>
        </w:tc>
        <w:tc>
          <w:tcPr>
            <w:tcW w:type="dxa" w:w="6066"/>
            <w:vAlign w:val="center"/>
            <w:tcMar>
              <w:top w:w="80" w:type="dxa"/>
              <w:start w:w="100" w:type="dxa"/>
              <w:bottom w:w="80" w:type="dxa"/>
              <w:end w:w="100" w:type="dxa"/>
            </w:tcMar>
            <w:shd w:fill="EEF5F7"/>
          </w:tcPr>
          <w:p>
            <w:pPr>
              <w:spacing w:after="0"/>
            </w:pPr>
            <w:r>
              <w:rPr>
                <w:sz w:val="16"/>
              </w:rPr>
              <w:t>PVP, precio sin IVA, márgenes y coste medio.</w:t>
            </w:r>
          </w:p>
        </w:tc>
      </w:tr>
      <w:tr>
        <w:tc>
          <w:tcPr>
            <w:tcW w:type="dxa" w:w="567"/>
            <w:vAlign w:val="center"/>
            <w:tcMar>
              <w:top w:w="80" w:type="dxa"/>
              <w:start w:w="100" w:type="dxa"/>
              <w:bottom w:w="80" w:type="dxa"/>
              <w:end w:w="100" w:type="dxa"/>
            </w:tcMar>
          </w:tcPr>
          <w:p>
            <w:pPr>
              <w:spacing w:after="0"/>
            </w:pPr>
            <w:r>
              <w:rPr>
                <w:sz w:val="16"/>
              </w:rPr>
              <w:t>3</w:t>
            </w:r>
          </w:p>
        </w:tc>
        <w:tc>
          <w:tcPr>
            <w:tcW w:type="dxa" w:w="2551"/>
            <w:vAlign w:val="center"/>
            <w:tcMar>
              <w:top w:w="80" w:type="dxa"/>
              <w:start w:w="100" w:type="dxa"/>
              <w:bottom w:w="80" w:type="dxa"/>
              <w:end w:w="100" w:type="dxa"/>
            </w:tcMar>
          </w:tcPr>
          <w:p>
            <w:pPr>
              <w:spacing w:after="0"/>
            </w:pPr>
            <w:r>
              <w:rPr>
                <w:sz w:val="16"/>
              </w:rPr>
              <w:t>Tarifas de venta</w:t>
            </w:r>
          </w:p>
        </w:tc>
        <w:tc>
          <w:tcPr>
            <w:tcW w:type="dxa" w:w="6066"/>
            <w:vAlign w:val="center"/>
            <w:tcMar>
              <w:top w:w="80" w:type="dxa"/>
              <w:start w:w="100" w:type="dxa"/>
              <w:bottom w:w="80" w:type="dxa"/>
              <w:end w:w="100" w:type="dxa"/>
            </w:tcMar>
          </w:tcPr>
          <w:p>
            <w:pPr>
              <w:spacing w:after="0"/>
            </w:pPr>
            <w:r>
              <w:rPr>
                <w:sz w:val="16"/>
              </w:rPr>
              <w:t>Tarifas adicionales, margen, precio y PVP resultante.</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551"/>
            <w:vAlign w:val="center"/>
            <w:tcMar>
              <w:top w:w="80" w:type="dxa"/>
              <w:start w:w="100" w:type="dxa"/>
              <w:bottom w:w="80" w:type="dxa"/>
              <w:end w:w="100" w:type="dxa"/>
            </w:tcMar>
            <w:shd w:fill="EEF5F7"/>
          </w:tcPr>
          <w:p>
            <w:pPr>
              <w:spacing w:after="0"/>
            </w:pPr>
            <w:r>
              <w:rPr>
                <w:sz w:val="16"/>
              </w:rPr>
              <w:t>Proveedor / última compra</w:t>
            </w:r>
          </w:p>
        </w:tc>
        <w:tc>
          <w:tcPr>
            <w:tcW w:type="dxa" w:w="6066"/>
            <w:vAlign w:val="center"/>
            <w:tcMar>
              <w:top w:w="80" w:type="dxa"/>
              <w:start w:w="100" w:type="dxa"/>
              <w:bottom w:w="80" w:type="dxa"/>
              <w:end w:w="100" w:type="dxa"/>
            </w:tcMar>
            <w:shd w:fill="EEF5F7"/>
          </w:tcPr>
          <w:p>
            <w:pPr>
              <w:spacing w:after="0"/>
            </w:pPr>
            <w:r>
              <w:rPr>
                <w:sz w:val="16"/>
              </w:rPr>
              <w:t>Proveedor, fecha y último precio registrado.</w:t>
            </w:r>
          </w:p>
        </w:tc>
      </w:tr>
      <w:tr>
        <w:tc>
          <w:tcPr>
            <w:tcW w:type="dxa" w:w="567"/>
            <w:vAlign w:val="center"/>
            <w:tcMar>
              <w:top w:w="80" w:type="dxa"/>
              <w:start w:w="100" w:type="dxa"/>
              <w:bottom w:w="80" w:type="dxa"/>
              <w:end w:w="100" w:type="dxa"/>
            </w:tcMar>
          </w:tcPr>
          <w:p>
            <w:pPr>
              <w:spacing w:after="0"/>
            </w:pPr>
            <w:r>
              <w:rPr>
                <w:sz w:val="16"/>
              </w:rPr>
              <w:t>5</w:t>
            </w:r>
          </w:p>
        </w:tc>
        <w:tc>
          <w:tcPr>
            <w:tcW w:type="dxa" w:w="2551"/>
            <w:vAlign w:val="center"/>
            <w:tcMar>
              <w:top w:w="80" w:type="dxa"/>
              <w:start w:w="100" w:type="dxa"/>
              <w:bottom w:w="80" w:type="dxa"/>
              <w:end w:w="100" w:type="dxa"/>
            </w:tcMar>
          </w:tcPr>
          <w:p>
            <w:pPr>
              <w:spacing w:after="0"/>
            </w:pPr>
            <w:r>
              <w:rPr>
                <w:sz w:val="16"/>
              </w:rPr>
              <w:t>Nivel de puntos</w:t>
            </w:r>
          </w:p>
        </w:tc>
        <w:tc>
          <w:tcPr>
            <w:tcW w:type="dxa" w:w="6066"/>
            <w:vAlign w:val="center"/>
            <w:tcMar>
              <w:top w:w="80" w:type="dxa"/>
              <w:start w:w="100" w:type="dxa"/>
              <w:bottom w:w="80" w:type="dxa"/>
              <w:end w:w="100" w:type="dxa"/>
            </w:tcMar>
          </w:tcPr>
          <w:p>
            <w:pPr>
              <w:spacing w:after="0"/>
            </w:pPr>
            <w:r>
              <w:rPr>
                <w:sz w:val="16"/>
              </w:rPr>
              <w:t>Nivel 0 a 4 y comportamiento comercial asociado.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551"/>
            <w:vAlign w:val="center"/>
            <w:tcMar>
              <w:top w:w="80" w:type="dxa"/>
              <w:start w:w="100" w:type="dxa"/>
              <w:bottom w:w="80" w:type="dxa"/>
              <w:end w:w="100" w:type="dxa"/>
            </w:tcMar>
            <w:shd w:fill="EEF5F7"/>
          </w:tcPr>
          <w:p>
            <w:pPr>
              <w:spacing w:after="0"/>
            </w:pPr>
            <w:r>
              <w:rPr>
                <w:sz w:val="16"/>
              </w:rPr>
              <w:t>Acciones</w:t>
            </w:r>
          </w:p>
        </w:tc>
        <w:tc>
          <w:tcPr>
            <w:tcW w:type="dxa" w:w="6066"/>
            <w:vAlign w:val="center"/>
            <w:tcMar>
              <w:top w:w="80" w:type="dxa"/>
              <w:start w:w="100" w:type="dxa"/>
              <w:bottom w:w="80" w:type="dxa"/>
              <w:end w:w="100" w:type="dxa"/>
            </w:tcMar>
            <w:shd w:fill="EEF5F7"/>
          </w:tcPr>
          <w:p>
            <w:pPr>
              <w:spacing w:after="0"/>
            </w:pPr>
            <w:r>
              <w:rPr>
                <w:sz w:val="16"/>
              </w:rPr>
              <w:t>Guardado, navegación y cierre de la ficha.</w:t>
            </w:r>
          </w:p>
        </w:tc>
      </w:tr>
    </w:tbl>
    <w:p>
      <w:pPr>
        <w:pStyle w:val="ListBullet"/>
      </w:pPr>
      <w:r>
        <w:t>A24 es el precio de coste utilizado como referencia para márgenes y para clientes configurados a precio de coste.</w:t>
      </w:r>
    </w:p>
    <w:p>
      <w:pPr>
        <w:pStyle w:val="ListBullet"/>
      </w:pPr>
      <w:r>
        <w:t>A21 representa el PVP sin IVA y A2 el PVP con IVA. Ambos deben ser coherentes con el tipo de IVA.</w:t>
      </w:r>
    </w:p>
    <w:p>
      <w:pPr>
        <w:pStyle w:val="ListBullet"/>
      </w:pPr>
      <w:r>
        <w:t>El coste medio no sustituye necesariamente al último coste: interprete cada dato según el circuito de compras.</w:t>
      </w:r>
    </w:p>
    <w:p>
      <w:pPr>
        <w:pStyle w:val="ListBullet"/>
      </w:pPr>
      <w:r>
        <w:t>Las tarifas especiales deben revisarse después de cambios de coste, IVA o precio general.</w:t>
      </w:r>
    </w:p>
    <w:p>
      <w:pPr>
        <w:pStyle w:val="ListBullet"/>
      </w:pPr>
      <w:r>
        <w:t>Compruebe que los descuentos de compra están aplicados en el orden previsto antes de aceptar el coste resultante.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MARGEN  </w:t>
            </w:r>
            <w:r>
              <w:t>Antes de guardar, compruebe el margen tanto sobre coste como sobre PVP. Un PVP aparentemente correcto puede ocultar un margen negativo si el coste o los descuentos de compra están mal informados.</w:t>
            </w:r>
          </w:p>
        </w:tc>
      </w:tr>
    </w:tbl>
    <w:p>
      <w:pPr>
        <w:pStyle w:val="Heading2"/>
      </w:pPr>
      <w:r>
        <w:t>4.5 Sistema de puntos por artículo</w:t>
      </w:r>
    </w:p>
    <w:p>
      <w:pPr>
        <w:pStyle w:val="BodyText"/>
      </w:pPr>
      <w:r>
        <w:t>El Nivel de puntos de la ficha determina cómo participa el artículo en el sistema de fidelización. Para que tenga efecto, el sistema debe estar habilitado en Configuración general y también en la ficha del cliente.</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134"/>
            <w:vAlign w:val="center"/>
            <w:tcMar>
              <w:top w:w="80" w:type="dxa"/>
              <w:start w:w="100" w:type="dxa"/>
              <w:bottom w:w="80" w:type="dxa"/>
              <w:end w:w="100" w:type="dxa"/>
            </w:tcMar>
            <w:shd w:fill="155E75"/>
          </w:tcPr>
          <w:p>
            <w:pPr>
              <w:spacing w:after="0"/>
            </w:pPr>
            <w:r>
              <w:rPr>
                <w:b/>
                <w:color w:val="FFFFFF"/>
                <w:sz w:val="16"/>
              </w:rPr>
              <w:t>Nivel</w:t>
            </w:r>
          </w:p>
        </w:tc>
        <w:tc>
          <w:tcPr>
            <w:tcW w:type="dxa" w:w="8050"/>
            <w:vAlign w:val="center"/>
            <w:tcMar>
              <w:top w:w="80" w:type="dxa"/>
              <w:start w:w="100" w:type="dxa"/>
              <w:bottom w:w="80" w:type="dxa"/>
              <w:end w:w="100" w:type="dxa"/>
            </w:tcMar>
            <w:shd w:fill="155E75"/>
          </w:tcPr>
          <w:p>
            <w:pPr>
              <w:spacing w:after="0"/>
            </w:pPr>
            <w:r>
              <w:rPr>
                <w:b/>
                <w:color w:val="FFFFFF"/>
                <w:sz w:val="16"/>
              </w:rPr>
              <w:t>Comportamiento orientativo</w:t>
            </w:r>
          </w:p>
        </w:tc>
      </w:tr>
      <w:tr>
        <w:tc>
          <w:tcPr>
            <w:tcW w:type="dxa" w:w="1134"/>
            <w:vAlign w:val="center"/>
            <w:tcMar>
              <w:top w:w="80" w:type="dxa"/>
              <w:start w:w="100" w:type="dxa"/>
              <w:bottom w:w="80" w:type="dxa"/>
              <w:end w:w="100" w:type="dxa"/>
            </w:tcMar>
          </w:tcPr>
          <w:p>
            <w:pPr>
              <w:spacing w:after="0"/>
            </w:pPr>
            <w:r>
              <w:rPr>
                <w:sz w:val="16"/>
              </w:rPr>
              <w:t>0</w:t>
            </w:r>
          </w:p>
        </w:tc>
        <w:tc>
          <w:tcPr>
            <w:tcW w:type="dxa" w:w="8050"/>
            <w:vAlign w:val="center"/>
            <w:tcMar>
              <w:top w:w="80" w:type="dxa"/>
              <w:start w:w="100" w:type="dxa"/>
              <w:bottom w:w="80" w:type="dxa"/>
              <w:end w:w="100" w:type="dxa"/>
            </w:tcMar>
          </w:tcPr>
          <w:p>
            <w:pPr>
              <w:spacing w:after="0"/>
            </w:pPr>
            <w:r>
              <w:rPr>
                <w:sz w:val="16"/>
              </w:rPr>
              <w:t>Artículo fuera de la promoción de puntos.</w:t>
            </w:r>
          </w:p>
        </w:tc>
      </w:tr>
      <w:tr>
        <w:tc>
          <w:tcPr>
            <w:tcW w:type="dxa" w:w="1134"/>
            <w:vAlign w:val="center"/>
            <w:tcMar>
              <w:top w:w="80" w:type="dxa"/>
              <w:start w:w="100" w:type="dxa"/>
              <w:bottom w:w="80" w:type="dxa"/>
              <w:end w:w="100" w:type="dxa"/>
            </w:tcMar>
            <w:shd w:fill="EEF5F7"/>
          </w:tcPr>
          <w:p>
            <w:pPr>
              <w:spacing w:after="0"/>
            </w:pPr>
            <w:r>
              <w:rPr>
                <w:sz w:val="16"/>
              </w:rPr>
              <w:t>1</w:t>
            </w:r>
          </w:p>
        </w:tc>
        <w:tc>
          <w:tcPr>
            <w:tcW w:type="dxa" w:w="8050"/>
            <w:vAlign w:val="center"/>
            <w:tcMar>
              <w:top w:w="80" w:type="dxa"/>
              <w:start w:w="100" w:type="dxa"/>
              <w:bottom w:w="80" w:type="dxa"/>
              <w:end w:w="100" w:type="dxa"/>
            </w:tcMar>
            <w:shd w:fill="EEF5F7"/>
          </w:tcPr>
          <w:p>
            <w:pPr>
              <w:spacing w:after="0"/>
            </w:pPr>
            <w:r>
              <w:rPr>
                <w:sz w:val="16"/>
              </w:rPr>
              <w:t>Artículo incluido en la promoción básica.</w:t>
            </w:r>
          </w:p>
        </w:tc>
      </w:tr>
      <w:tr>
        <w:tc>
          <w:tcPr>
            <w:tcW w:type="dxa" w:w="1134"/>
            <w:vAlign w:val="center"/>
            <w:tcMar>
              <w:top w:w="80" w:type="dxa"/>
              <w:start w:w="100" w:type="dxa"/>
              <w:bottom w:w="80" w:type="dxa"/>
              <w:end w:w="100" w:type="dxa"/>
            </w:tcMar>
          </w:tcPr>
          <w:p>
            <w:pPr>
              <w:spacing w:after="0"/>
            </w:pPr>
            <w:r>
              <w:rPr>
                <w:sz w:val="16"/>
              </w:rPr>
              <w:t>2</w:t>
            </w:r>
          </w:p>
        </w:tc>
        <w:tc>
          <w:tcPr>
            <w:tcW w:type="dxa" w:w="8050"/>
            <w:vAlign w:val="center"/>
            <w:tcMar>
              <w:top w:w="80" w:type="dxa"/>
              <w:start w:w="100" w:type="dxa"/>
              <w:bottom w:w="80" w:type="dxa"/>
              <w:end w:w="100" w:type="dxa"/>
            </w:tcMar>
          </w:tcPr>
          <w:p>
            <w:pPr>
              <w:spacing w:after="0"/>
            </w:pPr>
            <w:r>
              <w:rPr>
                <w:sz w:val="16"/>
              </w:rPr>
              <w:t>Promoción con porcentaje adicional sobre la venta.</w:t>
            </w:r>
          </w:p>
        </w:tc>
      </w:tr>
      <w:tr>
        <w:tc>
          <w:tcPr>
            <w:tcW w:type="dxa" w:w="1134"/>
            <w:vAlign w:val="center"/>
            <w:tcMar>
              <w:top w:w="80" w:type="dxa"/>
              <w:start w:w="100" w:type="dxa"/>
              <w:bottom w:w="80" w:type="dxa"/>
              <w:end w:w="100" w:type="dxa"/>
            </w:tcMar>
            <w:shd w:fill="EEF5F7"/>
          </w:tcPr>
          <w:p>
            <w:pPr>
              <w:spacing w:after="0"/>
            </w:pPr>
            <w:r>
              <w:rPr>
                <w:sz w:val="16"/>
              </w:rPr>
              <w:t>3</w:t>
            </w:r>
          </w:p>
        </w:tc>
        <w:tc>
          <w:tcPr>
            <w:tcW w:type="dxa" w:w="8050"/>
            <w:vAlign w:val="center"/>
            <w:tcMar>
              <w:top w:w="80" w:type="dxa"/>
              <w:start w:w="100" w:type="dxa"/>
              <w:bottom w:w="80" w:type="dxa"/>
              <w:end w:w="100" w:type="dxa"/>
            </w:tcMar>
            <w:shd w:fill="EEF5F7"/>
          </w:tcPr>
          <w:p>
            <w:pPr>
              <w:spacing w:after="0"/>
            </w:pPr>
            <w:r>
              <w:rPr>
                <w:sz w:val="16"/>
              </w:rPr>
              <w:t>Porcentaje adicional y puntos fijos extra.</w:t>
            </w:r>
          </w:p>
        </w:tc>
      </w:tr>
      <w:tr>
        <w:tc>
          <w:tcPr>
            <w:tcW w:type="dxa" w:w="1134"/>
            <w:vAlign w:val="center"/>
            <w:tcMar>
              <w:top w:w="80" w:type="dxa"/>
              <w:start w:w="100" w:type="dxa"/>
              <w:bottom w:w="80" w:type="dxa"/>
              <w:end w:w="100" w:type="dxa"/>
            </w:tcMar>
          </w:tcPr>
          <w:p>
            <w:pPr>
              <w:spacing w:after="0"/>
            </w:pPr>
            <w:r>
              <w:rPr>
                <w:sz w:val="16"/>
              </w:rPr>
              <w:t>4</w:t>
            </w:r>
          </w:p>
        </w:tc>
        <w:tc>
          <w:tcPr>
            <w:tcW w:type="dxa" w:w="8050"/>
            <w:vAlign w:val="center"/>
            <w:tcMar>
              <w:top w:w="80" w:type="dxa"/>
              <w:start w:w="100" w:type="dxa"/>
              <w:bottom w:w="80" w:type="dxa"/>
              <w:end w:w="100" w:type="dxa"/>
            </w:tcMar>
          </w:tcPr>
          <w:p>
            <w:pPr>
              <w:spacing w:after="0"/>
            </w:pPr>
            <w:r>
              <w:rPr>
                <w:sz w:val="16"/>
              </w:rPr>
              <w:t>Puntos fijos únicamente.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COMPROBACIÓN CRUZADA  </w:t>
            </w:r>
            <w:r>
              <w:t>Pruebe una venta con un cliente habilitado y otro sin puntos. Revise que la acumulación y la descripción comercial coincidan con la configuración.</w:t>
            </w:r>
          </w:p>
        </w:tc>
      </w:tr>
    </w:tbl>
    <w:p>
      <w:pPr>
        <w:pStyle w:val="Heading2"/>
      </w:pPr>
      <w:r>
        <w:t>4.6 Códigos auxiliares y EAN</w:t>
      </w:r>
    </w:p>
    <w:p>
      <w:pPr>
        <w:jc w:val="center"/>
      </w:pPr>
      <w:r>
        <w:drawing>
          <wp:inline xmlns:a="http://schemas.openxmlformats.org/drawingml/2006/main" xmlns:pic="http://schemas.openxmlformats.org/drawingml/2006/picture">
            <wp:extent cx="5903999" cy="3320999"/>
            <wp:docPr id="32" name="Picture 32" descr="Reconstrucción documental de códigos auxiliares y EAN con seis zonas numeradas"/>
            <wp:cNvGraphicFramePr>
              <a:graphicFrameLocks noChangeAspect="1"/>
            </wp:cNvGraphicFramePr>
            <a:graphic>
              <a:graphicData uri="http://schemas.openxmlformats.org/drawingml/2006/picture">
                <pic:pic>
                  <pic:nvPicPr>
                    <pic:cNvPr id="0" name="03_articulos_codigos_auxiliares_reconstruccion_anotada.png"/>
                    <pic:cNvPicPr/>
                  </pic:nvPicPr>
                  <pic:blipFill>
                    <a:blip r:embed="rId47"/>
                    <a:stretch>
                      <a:fillRect/>
                    </a:stretch>
                  </pic:blipFill>
                  <pic:spPr>
                    <a:xfrm>
                      <a:off x="0" y="0"/>
                      <a:ext cx="5903999" cy="3320999"/>
                    </a:xfrm>
                    <a:prstGeom prst="rect"/>
                  </pic:spPr>
                </pic:pic>
              </a:graphicData>
            </a:graphic>
          </wp:inline>
        </w:drawing>
      </w:r>
    </w:p>
    <w:p>
      <w:pPr>
        <w:pStyle w:val="Caption"/>
        <w:jc w:val="center"/>
      </w:pPr>
      <w:r>
        <w:t>Figura 4.3. Reconstrucción documental de Códigos auxiliares. Cada EAN puede representar una unidad, caja o presentación distinta.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623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Identificación</w:t>
            </w:r>
          </w:p>
        </w:tc>
        <w:tc>
          <w:tcPr>
            <w:tcW w:type="dxa" w:w="6236"/>
            <w:vAlign w:val="center"/>
            <w:tcMar>
              <w:top w:w="80" w:type="dxa"/>
              <w:start w:w="100" w:type="dxa"/>
              <w:bottom w:w="80" w:type="dxa"/>
              <w:end w:w="100" w:type="dxa"/>
            </w:tcMar>
          </w:tcPr>
          <w:p>
            <w:pPr>
              <w:spacing w:after="0"/>
            </w:pPr>
            <w:r>
              <w:rPr>
                <w:sz w:val="16"/>
              </w:rPr>
              <w:t>Código/EAN y descripción de la presentación.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Conversión comercial</w:t>
            </w:r>
          </w:p>
        </w:tc>
        <w:tc>
          <w:tcPr>
            <w:tcW w:type="dxa" w:w="6236"/>
            <w:vAlign w:val="center"/>
            <w:tcMar>
              <w:top w:w="80" w:type="dxa"/>
              <w:start w:w="100" w:type="dxa"/>
              <w:bottom w:w="80" w:type="dxa"/>
              <w:end w:w="100" w:type="dxa"/>
            </w:tcMar>
            <w:shd w:fill="EEF5F7"/>
          </w:tcPr>
          <w:p>
            <w:pPr>
              <w:spacing w:after="0"/>
            </w:pPr>
            <w:r>
              <w:rPr>
                <w:sz w:val="16"/>
              </w:rPr>
              <w:t>Unidades, importe y unidades que se descuentan del stock.</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Acciones de línea</w:t>
            </w:r>
          </w:p>
        </w:tc>
        <w:tc>
          <w:tcPr>
            <w:tcW w:type="dxa" w:w="6236"/>
            <w:vAlign w:val="center"/>
            <w:tcMar>
              <w:top w:w="80" w:type="dxa"/>
              <w:start w:w="100" w:type="dxa"/>
              <w:bottom w:w="80" w:type="dxa"/>
              <w:end w:w="100" w:type="dxa"/>
            </w:tcMar>
          </w:tcPr>
          <w:p>
            <w:pPr>
              <w:spacing w:after="0"/>
            </w:pPr>
            <w:r>
              <w:rPr>
                <w:sz w:val="16"/>
              </w:rPr>
              <w:t>Nuevo, Modificar y Borrar código auxiliar.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Grid asociado</w:t>
            </w:r>
          </w:p>
        </w:tc>
        <w:tc>
          <w:tcPr>
            <w:tcW w:type="dxa" w:w="6236"/>
            <w:vAlign w:val="center"/>
            <w:tcMar>
              <w:top w:w="80" w:type="dxa"/>
              <w:start w:w="100" w:type="dxa"/>
              <w:bottom w:w="80" w:type="dxa"/>
              <w:end w:w="100" w:type="dxa"/>
            </w:tcMar>
            <w:shd w:fill="EEF5F7"/>
          </w:tcPr>
          <w:p>
            <w:pPr>
              <w:spacing w:after="0"/>
            </w:pPr>
            <w:r>
              <w:rPr>
                <w:sz w:val="16"/>
              </w:rPr>
              <w:t>Listado de todos los códigos vinculados al artículo.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Pestaña activa</w:t>
            </w:r>
          </w:p>
        </w:tc>
        <w:tc>
          <w:tcPr>
            <w:tcW w:type="dxa" w:w="6236"/>
            <w:vAlign w:val="center"/>
            <w:tcMar>
              <w:top w:w="80" w:type="dxa"/>
              <w:start w:w="100" w:type="dxa"/>
              <w:bottom w:w="80" w:type="dxa"/>
              <w:end w:w="100" w:type="dxa"/>
            </w:tcMar>
          </w:tcPr>
          <w:p>
            <w:pPr>
              <w:spacing w:after="0"/>
            </w:pPr>
            <w:r>
              <w:rPr>
                <w:sz w:val="16"/>
              </w:rPr>
              <w:t>Acceso a Códigos auxiliares dentro de la ficha.</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81"/>
            <w:vAlign w:val="center"/>
            <w:tcMar>
              <w:top w:w="80" w:type="dxa"/>
              <w:start w:w="100" w:type="dxa"/>
              <w:bottom w:w="80" w:type="dxa"/>
              <w:end w:w="100" w:type="dxa"/>
            </w:tcMar>
            <w:shd w:fill="EEF5F7"/>
          </w:tcPr>
          <w:p>
            <w:pPr>
              <w:spacing w:after="0"/>
            </w:pPr>
            <w:r>
              <w:rPr>
                <w:sz w:val="16"/>
              </w:rPr>
              <w:t>Acciones generales</w:t>
            </w:r>
          </w:p>
        </w:tc>
        <w:tc>
          <w:tcPr>
            <w:tcW w:type="dxa" w:w="6236"/>
            <w:vAlign w:val="center"/>
            <w:tcMar>
              <w:top w:w="80" w:type="dxa"/>
              <w:start w:w="100" w:type="dxa"/>
              <w:bottom w:w="80" w:type="dxa"/>
              <w:end w:w="100" w:type="dxa"/>
            </w:tcMar>
            <w:shd w:fill="EEF5F7"/>
          </w:tcPr>
          <w:p>
            <w:pPr>
              <w:spacing w:after="0"/>
            </w:pPr>
            <w:r>
              <w:rPr>
                <w:sz w:val="16"/>
              </w:rPr>
              <w:t>Navegación y cierre de Artículos.</w:t>
            </w:r>
          </w:p>
        </w:tc>
      </w:tr>
    </w:tbl>
    <w:p>
      <w:pPr>
        <w:pStyle w:val="ListBullet"/>
      </w:pPr>
      <w:r>
        <w:t>EAN0 es el código leído o auxiliar y EAN1 debe apuntar al código principal del artículo.</w:t>
      </w:r>
    </w:p>
    <w:p>
      <w:pPr>
        <w:pStyle w:val="ListBullet"/>
      </w:pPr>
      <w:r>
        <w:t>EAN3 puede utilizarse para cantidades o equivalencias según el circuito implantado.</w:t>
      </w:r>
    </w:p>
    <w:p>
      <w:pPr>
        <w:pStyle w:val="ListBullet"/>
      </w:pPr>
      <w:r>
        <w:t>Un EAN no debe apuntar a varios artículos distintos.</w:t>
      </w:r>
    </w:p>
    <w:p>
      <w:pPr>
        <w:pStyle w:val="ListBullet"/>
      </w:pPr>
      <w:r>
        <w:t>Cuando se lea un EAN inexistente, debe verificarse el producto antes de asociarlo; nunca asignarlo por aproximación.</w:t>
      </w:r>
    </w:p>
    <w:p>
      <w:pPr>
        <w:pStyle w:val="ListBullet"/>
      </w:pPr>
      <w:r>
        <w:t>Revise especialmente cajas, packs y presentaciones que descuenten más de una unidad.</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DUPLICADOS  </w:t>
            </w:r>
            <w:r>
              <w:t>Un EAN duplicado puede vender un artículo equivocado o descontar existencias incorrectas. Use las herramientas de revisión antes de importar códigos masivamente.</w:t>
            </w:r>
          </w:p>
        </w:tc>
      </w:tr>
    </w:tbl>
    <w:p>
      <w:pPr>
        <w:pStyle w:val="Heading2"/>
      </w:pPr>
      <w:r>
        <w:t>4.7 Familias y proveedores</w:t>
      </w:r>
    </w:p>
    <w:p>
      <w:pPr>
        <w:pStyle w:val="BodyText"/>
      </w:pPr>
      <w:r>
        <w:t>La familia organiza artículos para búsqueda, teclado táctil, estadísticas, promociones y análisis. El proveedor principal interviene en compras y pedidos automáticos. Ambos datos deben corresponder a registros existentes y no depender de posiciones de campo o índices ambiguos.</w:t>
      </w:r>
    </w:p>
    <w:p>
      <w:pPr>
        <w:pStyle w:val="ListBullet"/>
      </w:pPr>
      <w:r>
        <w:t>A14 identifica la familia y A32 el proveedor principal en artitien+tienda.</w:t>
      </w:r>
    </w:p>
    <w:p>
      <w:pPr>
        <w:pStyle w:val="ListBullet"/>
      </w:pPr>
      <w:r>
        <w:t>Si una familia o proveedor desaparece, revise los artículos afectados antes de crear sustitutos.</w:t>
      </w:r>
    </w:p>
    <w:p>
      <w:pPr>
        <w:pStyle w:val="ListBullet"/>
      </w:pPr>
      <w:r>
        <w:t>No cambie la familia desde Ventas: la corrección debe realizarse en la ficha o en el proceso autorizado.</w:t>
      </w:r>
    </w:p>
    <w:p>
      <w:pPr>
        <w:pStyle w:val="ListBullet"/>
      </w:pPr>
      <w:r>
        <w:t>Tras una actualización masiva, compruebe una muestra y los informes por familia/proveedor.</w:t>
      </w:r>
    </w:p>
    <w:p>
      <w:pPr>
        <w:pStyle w:val="Heading2"/>
      </w:pPr>
      <w:r>
        <w:t>4.8 Actualización automática de tarifas</w:t>
      </w:r>
    </w:p>
    <w:p>
      <w:pPr>
        <w:pStyle w:val="BodyText"/>
      </w:pPr>
      <w:r>
        <w:t>El actualizador permite seleccionar conjuntos de artículos y calcular nuevos precios mediante importes, porcentajes, terminaciones y reglas de margen. Es una operación masiva y debe tratarse como crítica.</w:t>
      </w:r>
    </w:p>
    <w:p>
      <w:pPr>
        <w:jc w:val="center"/>
      </w:pPr>
      <w:r>
        <w:drawing>
          <wp:inline xmlns:a="http://schemas.openxmlformats.org/drawingml/2006/main" xmlns:pic="http://schemas.openxmlformats.org/drawingml/2006/picture">
            <wp:extent cx="5903999" cy="3666250"/>
            <wp:docPr id="33" name="Picture 33" descr="Captura real compatible del actualizador automático de tarifas con cuatro zonas numeradas"/>
            <wp:cNvGraphicFramePr>
              <a:graphicFrameLocks noChangeAspect="1"/>
            </wp:cNvGraphicFramePr>
            <a:graphic>
              <a:graphicData uri="http://schemas.openxmlformats.org/drawingml/2006/picture">
                <pic:pic>
                  <pic:nvPicPr>
                    <pic:cNvPr id="0" name="04_actualizador_tarifas_real_anotado.png"/>
                    <pic:cNvPicPr/>
                  </pic:nvPicPr>
                  <pic:blipFill>
                    <a:blip r:embed="rId48"/>
                    <a:stretch>
                      <a:fillRect/>
                    </a:stretch>
                  </pic:blipFill>
                  <pic:spPr>
                    <a:xfrm>
                      <a:off x="0" y="0"/>
                      <a:ext cx="5903999" cy="3666250"/>
                    </a:xfrm>
                    <a:prstGeom prst="rect"/>
                  </pic:spPr>
                </pic:pic>
              </a:graphicData>
            </a:graphic>
          </wp:inline>
        </w:drawing>
      </w:r>
    </w:p>
    <w:p>
      <w:pPr>
        <w:pStyle w:val="Caption"/>
        <w:jc w:val="center"/>
      </w:pPr>
      <w:r>
        <w:t>Figura 4.4. Captura real compatible del actualizador automático de tarifas. La revisión actual puede presentar mejoras visuales, pero conserva el flujo de selección, revisión y aplicación.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608"/>
            <w:vAlign w:val="center"/>
            <w:tcMar>
              <w:top w:w="80" w:type="dxa"/>
              <w:start w:w="100" w:type="dxa"/>
              <w:bottom w:w="80" w:type="dxa"/>
              <w:end w:w="100" w:type="dxa"/>
            </w:tcMar>
            <w:shd w:fill="155E75"/>
          </w:tcPr>
          <w:p>
            <w:pPr>
              <w:spacing w:after="0"/>
            </w:pPr>
            <w:r>
              <w:rPr>
                <w:b/>
                <w:color w:val="FFFFFF"/>
                <w:sz w:val="16"/>
              </w:rPr>
              <w:t>Zona</w:t>
            </w:r>
          </w:p>
        </w:tc>
        <w:tc>
          <w:tcPr>
            <w:tcW w:type="dxa" w:w="6009"/>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608"/>
            <w:vAlign w:val="center"/>
            <w:tcMar>
              <w:top w:w="80" w:type="dxa"/>
              <w:start w:w="100" w:type="dxa"/>
              <w:bottom w:w="80" w:type="dxa"/>
              <w:end w:w="100" w:type="dxa"/>
            </w:tcMar>
          </w:tcPr>
          <w:p>
            <w:pPr>
              <w:spacing w:after="0"/>
            </w:pPr>
            <w:r>
              <w:rPr>
                <w:sz w:val="16"/>
              </w:rPr>
              <w:t>Cabecera</w:t>
            </w:r>
          </w:p>
        </w:tc>
        <w:tc>
          <w:tcPr>
            <w:tcW w:type="dxa" w:w="6009"/>
            <w:vAlign w:val="center"/>
            <w:tcMar>
              <w:top w:w="80" w:type="dxa"/>
              <w:start w:w="100" w:type="dxa"/>
              <w:bottom w:w="80" w:type="dxa"/>
              <w:end w:w="100" w:type="dxa"/>
            </w:tcMar>
          </w:tcPr>
          <w:p>
            <w:pPr>
              <w:spacing w:after="0"/>
            </w:pPr>
            <w:r>
              <w:rPr>
                <w:sz w:val="16"/>
              </w:rPr>
              <w:t>Identifica el proceso de actualización masiva.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608"/>
            <w:vAlign w:val="center"/>
            <w:tcMar>
              <w:top w:w="80" w:type="dxa"/>
              <w:start w:w="100" w:type="dxa"/>
              <w:bottom w:w="80" w:type="dxa"/>
              <w:end w:w="100" w:type="dxa"/>
            </w:tcMar>
            <w:shd w:fill="EEF5F7"/>
          </w:tcPr>
          <w:p>
            <w:pPr>
              <w:spacing w:after="0"/>
            </w:pPr>
            <w:r>
              <w:rPr>
                <w:sz w:val="16"/>
              </w:rPr>
              <w:t>Filtros</w:t>
            </w:r>
          </w:p>
        </w:tc>
        <w:tc>
          <w:tcPr>
            <w:tcW w:type="dxa" w:w="6009"/>
            <w:vAlign w:val="center"/>
            <w:tcMar>
              <w:top w:w="80" w:type="dxa"/>
              <w:start w:w="100" w:type="dxa"/>
              <w:bottom w:w="80" w:type="dxa"/>
              <w:end w:w="100" w:type="dxa"/>
            </w:tcMar>
            <w:shd w:fill="EEF5F7"/>
          </w:tcPr>
          <w:p>
            <w:pPr>
              <w:spacing w:after="0"/>
            </w:pPr>
            <w:r>
              <w:rPr>
                <w:sz w:val="16"/>
              </w:rPr>
              <w:t>Códigos, descripciones, fabricante, familia y proveedor.</w:t>
            </w:r>
          </w:p>
        </w:tc>
      </w:tr>
      <w:tr>
        <w:tc>
          <w:tcPr>
            <w:tcW w:type="dxa" w:w="567"/>
            <w:vAlign w:val="center"/>
            <w:tcMar>
              <w:top w:w="80" w:type="dxa"/>
              <w:start w:w="100" w:type="dxa"/>
              <w:bottom w:w="80" w:type="dxa"/>
              <w:end w:w="100" w:type="dxa"/>
            </w:tcMar>
          </w:tcPr>
          <w:p>
            <w:pPr>
              <w:spacing w:after="0"/>
            </w:pPr>
            <w:r>
              <w:rPr>
                <w:sz w:val="16"/>
              </w:rPr>
              <w:t>3</w:t>
            </w:r>
          </w:p>
        </w:tc>
        <w:tc>
          <w:tcPr>
            <w:tcW w:type="dxa" w:w="2608"/>
            <w:vAlign w:val="center"/>
            <w:tcMar>
              <w:top w:w="80" w:type="dxa"/>
              <w:start w:w="100" w:type="dxa"/>
              <w:bottom w:w="80" w:type="dxa"/>
              <w:end w:w="100" w:type="dxa"/>
            </w:tcMar>
          </w:tcPr>
          <w:p>
            <w:pPr>
              <w:spacing w:after="0"/>
            </w:pPr>
            <w:r>
              <w:rPr>
                <w:sz w:val="16"/>
              </w:rPr>
              <w:t>Resultado / revisión</w:t>
            </w:r>
          </w:p>
        </w:tc>
        <w:tc>
          <w:tcPr>
            <w:tcW w:type="dxa" w:w="6009"/>
            <w:vAlign w:val="center"/>
            <w:tcMar>
              <w:top w:w="80" w:type="dxa"/>
              <w:start w:w="100" w:type="dxa"/>
              <w:bottom w:w="80" w:type="dxa"/>
              <w:end w:w="100" w:type="dxa"/>
            </w:tcMar>
          </w:tcPr>
          <w:p>
            <w:pPr>
              <w:spacing w:after="0"/>
            </w:pPr>
            <w:r>
              <w:rPr>
                <w:sz w:val="16"/>
              </w:rPr>
              <w:t>Listado de artículos y precios calculados antes de aplicar.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608"/>
            <w:vAlign w:val="center"/>
            <w:tcMar>
              <w:top w:w="80" w:type="dxa"/>
              <w:start w:w="100" w:type="dxa"/>
              <w:bottom w:w="80" w:type="dxa"/>
              <w:end w:w="100" w:type="dxa"/>
            </w:tcMar>
            <w:shd w:fill="EEF5F7"/>
          </w:tcPr>
          <w:p>
            <w:pPr>
              <w:spacing w:after="0"/>
            </w:pPr>
            <w:r>
              <w:rPr>
                <w:sz w:val="16"/>
              </w:rPr>
              <w:t>Reglas de incremento</w:t>
            </w:r>
          </w:p>
        </w:tc>
        <w:tc>
          <w:tcPr>
            <w:tcW w:type="dxa" w:w="6009"/>
            <w:vAlign w:val="center"/>
            <w:tcMar>
              <w:top w:w="80" w:type="dxa"/>
              <w:start w:w="100" w:type="dxa"/>
              <w:bottom w:w="80" w:type="dxa"/>
              <w:end w:w="100" w:type="dxa"/>
            </w:tcMar>
            <w:shd w:fill="EEF5F7"/>
          </w:tcPr>
          <w:p>
            <w:pPr>
              <w:spacing w:after="0"/>
            </w:pPr>
            <w:r>
              <w:rPr>
                <w:sz w:val="16"/>
              </w:rPr>
              <w:t>Importe fijo, porcentaje, PVP con/sin IVA y controles relacionados.</w:t>
            </w:r>
          </w:p>
        </w:tc>
      </w:tr>
    </w:tbl>
    <w:p>
      <w:pPr>
        <w:pStyle w:val="BodyText"/>
      </w:pPr>
      <w:r>
        <w:t>1. Realice una copia de seguridad y defina el conjunto exacto de artículos.</w:t>
      </w:r>
    </w:p>
    <w:p>
      <w:pPr>
        <w:pStyle w:val="BodyText"/>
      </w:pPr>
      <w:r>
        <w:t>2. Configure el criterio de incremento, terminación 5/9/0 y margen mínimo.</w:t>
      </w:r>
    </w:p>
    <w:p>
      <w:pPr>
        <w:pStyle w:val="BodyText"/>
      </w:pPr>
      <w:r>
        <w:t>3. Calcule y revise la lista antes de modificar la base de datos.</w:t>
      </w:r>
    </w:p>
    <w:p>
      <w:pPr>
        <w:pStyle w:val="BodyText"/>
      </w:pPr>
      <w:r>
        <w:t>4. Compruebe una muestra con distintos IVA, costes, tarifas y descuentos.</w:t>
      </w:r>
    </w:p>
    <w:p>
      <w:pPr>
        <w:pStyle w:val="BodyText"/>
      </w:pPr>
      <w:r>
        <w:t>5. Aplique el cambio y consulte el histórico de precios.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CAMBIO MASIVO  </w:t>
            </w:r>
            <w:r>
              <w:t>No aplique una tarifa solo porque el cálculo termine sin errores. Revise artículos baratos, costes cero, PVP 999, IVA especial y márgenes por debajo del mínimo.</w:t>
            </w:r>
          </w:p>
        </w:tc>
      </w:tr>
    </w:tbl>
    <w:p>
      <w:pPr>
        <w:pStyle w:val="Heading2"/>
      </w:pPr>
      <w:r>
        <w:t>4.9 Actualización de existencias e historial</w:t>
      </w:r>
    </w:p>
    <w:p>
      <w:pPr>
        <w:jc w:val="center"/>
      </w:pPr>
      <w:r>
        <w:drawing>
          <wp:inline xmlns:a="http://schemas.openxmlformats.org/drawingml/2006/main" xmlns:pic="http://schemas.openxmlformats.org/drawingml/2006/picture">
            <wp:extent cx="5903999" cy="3674615"/>
            <wp:docPr id="34" name="Picture 34" descr="Captura real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49"/>
                    <a:stretch>
                      <a:fillRect/>
                    </a:stretch>
                  </pic:blipFill>
                  <pic:spPr>
                    <a:xfrm>
                      <a:off x="0" y="0"/>
                      <a:ext cx="5903999" cy="3674615"/>
                    </a:xfrm>
                    <a:prstGeom prst="rect"/>
                  </pic:spPr>
                </pic:pic>
              </a:graphicData>
            </a:graphic>
          </wp:inline>
        </w:drawing>
      </w:r>
    </w:p>
    <w:p>
      <w:pPr>
        <w:pStyle w:val="Caption"/>
        <w:jc w:val="center"/>
      </w:pPr>
      <w:r>
        <w:t>Figura 4.5. Captura real de Actualización de stocks. Cada modificación debe registrar fecha, hora, puesto y motivo.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43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438"/>
            <w:vAlign w:val="center"/>
            <w:tcMar>
              <w:top w:w="80" w:type="dxa"/>
              <w:start w:w="100" w:type="dxa"/>
              <w:bottom w:w="80" w:type="dxa"/>
              <w:end w:w="100" w:type="dxa"/>
            </w:tcMar>
          </w:tcPr>
          <w:p>
            <w:pPr>
              <w:spacing w:after="0"/>
            </w:pPr>
            <w:r>
              <w:rPr>
                <w:sz w:val="16"/>
              </w:rPr>
              <w:t>Cabecera</w:t>
            </w:r>
          </w:p>
        </w:tc>
        <w:tc>
          <w:tcPr>
            <w:tcW w:type="dxa" w:w="6180"/>
            <w:vAlign w:val="center"/>
            <w:tcMar>
              <w:top w:w="80" w:type="dxa"/>
              <w:start w:w="100" w:type="dxa"/>
              <w:bottom w:w="80" w:type="dxa"/>
              <w:end w:w="100" w:type="dxa"/>
            </w:tcMar>
          </w:tcPr>
          <w:p>
            <w:pPr>
              <w:spacing w:after="0"/>
            </w:pPr>
            <w:r>
              <w:rPr>
                <w:sz w:val="16"/>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438"/>
            <w:vAlign w:val="center"/>
            <w:tcMar>
              <w:top w:w="80" w:type="dxa"/>
              <w:start w:w="100" w:type="dxa"/>
              <w:bottom w:w="80" w:type="dxa"/>
              <w:end w:w="100" w:type="dxa"/>
            </w:tcMar>
            <w:shd w:fill="EEF5F7"/>
          </w:tcPr>
          <w:p>
            <w:pPr>
              <w:spacing w:after="0"/>
            </w:pPr>
            <w:r>
              <w:rPr>
                <w:sz w:val="16"/>
              </w:rPr>
              <w:t>Artículo</w:t>
            </w:r>
          </w:p>
        </w:tc>
        <w:tc>
          <w:tcPr>
            <w:tcW w:type="dxa" w:w="6180"/>
            <w:vAlign w:val="center"/>
            <w:tcMar>
              <w:top w:w="80" w:type="dxa"/>
              <w:start w:w="100" w:type="dxa"/>
              <w:bottom w:w="80" w:type="dxa"/>
              <w:end w:w="100" w:type="dxa"/>
            </w:tcMar>
            <w:shd w:fill="EEF5F7"/>
          </w:tcPr>
          <w:p>
            <w:pPr>
              <w:spacing w:after="0"/>
            </w:pPr>
            <w:r>
              <w:rPr>
                <w:sz w:val="16"/>
              </w:rPr>
              <w:t>Código/EAN y descripción o búsqueda.</w:t>
            </w:r>
          </w:p>
        </w:tc>
      </w:tr>
      <w:tr>
        <w:tc>
          <w:tcPr>
            <w:tcW w:type="dxa" w:w="567"/>
            <w:vAlign w:val="center"/>
            <w:tcMar>
              <w:top w:w="80" w:type="dxa"/>
              <w:start w:w="100" w:type="dxa"/>
              <w:bottom w:w="80" w:type="dxa"/>
              <w:end w:w="100" w:type="dxa"/>
            </w:tcMar>
          </w:tcPr>
          <w:p>
            <w:pPr>
              <w:spacing w:after="0"/>
            </w:pPr>
            <w:r>
              <w:rPr>
                <w:sz w:val="16"/>
              </w:rPr>
              <w:t>3</w:t>
            </w:r>
          </w:p>
        </w:tc>
        <w:tc>
          <w:tcPr>
            <w:tcW w:type="dxa" w:w="2438"/>
            <w:vAlign w:val="center"/>
            <w:tcMar>
              <w:top w:w="80" w:type="dxa"/>
              <w:start w:w="100" w:type="dxa"/>
              <w:bottom w:w="80" w:type="dxa"/>
              <w:end w:w="100" w:type="dxa"/>
            </w:tcMar>
          </w:tcPr>
          <w:p>
            <w:pPr>
              <w:spacing w:after="0"/>
            </w:pPr>
            <w:r>
              <w:rPr>
                <w:sz w:val="16"/>
              </w:rPr>
              <w:t>Stock y motivo</w:t>
            </w:r>
          </w:p>
        </w:tc>
        <w:tc>
          <w:tcPr>
            <w:tcW w:type="dxa" w:w="6180"/>
            <w:vAlign w:val="center"/>
            <w:tcMar>
              <w:top w:w="80" w:type="dxa"/>
              <w:start w:w="100" w:type="dxa"/>
              <w:bottom w:w="80" w:type="dxa"/>
              <w:end w:w="100" w:type="dxa"/>
            </w:tcMar>
          </w:tcPr>
          <w:p>
            <w:pPr>
              <w:spacing w:after="0"/>
            </w:pPr>
            <w:r>
              <w:rPr>
                <w:sz w:val="16"/>
              </w:rPr>
              <w:t>Stock 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438"/>
            <w:vAlign w:val="center"/>
            <w:tcMar>
              <w:top w:w="80" w:type="dxa"/>
              <w:start w:w="100" w:type="dxa"/>
              <w:bottom w:w="80" w:type="dxa"/>
              <w:end w:w="100" w:type="dxa"/>
            </w:tcMar>
            <w:shd w:fill="EEF5F7"/>
          </w:tcPr>
          <w:p>
            <w:pPr>
              <w:spacing w:after="0"/>
            </w:pPr>
            <w:r>
              <w:rPr>
                <w:sz w:val="16"/>
              </w:rPr>
              <w:t>Historial</w:t>
            </w:r>
          </w:p>
        </w:tc>
        <w:tc>
          <w:tcPr>
            <w:tcW w:type="dxa" w:w="6180"/>
            <w:vAlign w:val="center"/>
            <w:tcMar>
              <w:top w:w="80" w:type="dxa"/>
              <w:start w:w="100" w:type="dxa"/>
              <w:bottom w:w="80" w:type="dxa"/>
              <w:end w:w="100" w:type="dxa"/>
            </w:tcMar>
            <w:shd w:fill="EEF5F7"/>
          </w:tcPr>
          <w:p>
            <w:pPr>
              <w:spacing w:after="0"/>
            </w:pPr>
            <w:r>
              <w:rPr>
                <w:sz w:val="16"/>
              </w:rPr>
              <w:t>Consulta de modificaciones; con código filtra y sin código muestra todas.</w:t>
            </w:r>
          </w:p>
        </w:tc>
      </w:tr>
      <w:tr>
        <w:tc>
          <w:tcPr>
            <w:tcW w:type="dxa" w:w="567"/>
            <w:vAlign w:val="center"/>
            <w:tcMar>
              <w:top w:w="80" w:type="dxa"/>
              <w:start w:w="100" w:type="dxa"/>
              <w:bottom w:w="80" w:type="dxa"/>
              <w:end w:w="100" w:type="dxa"/>
            </w:tcMar>
          </w:tcPr>
          <w:p>
            <w:pPr>
              <w:spacing w:after="0"/>
            </w:pPr>
            <w:r>
              <w:rPr>
                <w:sz w:val="16"/>
              </w:rPr>
              <w:t>5</w:t>
            </w:r>
          </w:p>
        </w:tc>
        <w:tc>
          <w:tcPr>
            <w:tcW w:type="dxa" w:w="243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Actualizar stock y Ver historial.</w:t>
            </w:r>
          </w:p>
        </w:tc>
      </w:tr>
    </w:tbl>
    <w:p>
      <w:pPr>
        <w:pStyle w:val="ListBullet"/>
      </w:pPr>
      <w:r>
        <w:t>Ver historial sin código debe mostrar todos los cambios, no uno solo ni ninguno.</w:t>
      </w:r>
    </w:p>
    <w:p>
      <w:pPr>
        <w:pStyle w:val="ListBullet"/>
      </w:pPr>
      <w:r>
        <w:t>Con un código informado, el historial debe filtrar únicamente ese artículo.</w:t>
      </w:r>
    </w:p>
    <w:p>
      <w:pPr>
        <w:pStyle w:val="ListBullet"/>
      </w:pPr>
      <w:r>
        <w:t>Las columnas deben poder ordenarse por cabecera y mostrar una flecha de sentido.</w:t>
      </w:r>
    </w:p>
    <w:p>
      <w:pPr>
        <w:pStyle w:val="ListBullet"/>
      </w:pPr>
      <w:r>
        <w:t>El motivo debe explicar el ajuste: inventario, rotura, recepción, corrección u otra causa real.</w:t>
      </w:r>
    </w:p>
    <w:p>
      <w:pPr>
        <w:pStyle w:val="ListBullet"/>
      </w:pPr>
      <w:r>
        <w:t>No utilice una corrección manual para ocultar un fallo recurrente de compras o ventas; investigue el origen.</w:t>
      </w:r>
    </w:p>
    <w:p>
      <w:pPr>
        <w:pStyle w:val="Heading2"/>
      </w:pPr>
      <w:r>
        <w:t>4.10 Historial de compras, estadísticas y gráficas</w:t>
      </w:r>
    </w:p>
    <w:p>
      <w:pPr>
        <w:pStyle w:val="BodyText"/>
      </w:pPr>
      <w:r>
        <w:t>Estas pestañas permiten estudiar proveedores, fechas, cantidades, costes y evolución comercial. Las estadísticas de venta deben reflejar el precio real vendido después de descuentos, no únicamente el PVP original.</w:t>
      </w:r>
    </w:p>
    <w:p>
      <w:pPr>
        <w:pStyle w:val="ListBullet"/>
      </w:pPr>
      <w:r>
        <w:t>Revise que los períodos y filtros sean correctos antes de interpretar una tendencia.</w:t>
      </w:r>
    </w:p>
    <w:p>
      <w:pPr>
        <w:pStyle w:val="ListBullet"/>
      </w:pPr>
      <w:r>
        <w:t>Compare precio de compra, coste medio, último coste y PVP actual.</w:t>
      </w:r>
    </w:p>
    <w:p>
      <w:pPr>
        <w:pStyle w:val="ListBullet"/>
      </w:pPr>
      <w:r>
        <w:t>Utilice las gráficas como apoyo; confirme los valores numéricos cuando una etiqueta se corte o no sea visible.</w:t>
      </w:r>
    </w:p>
    <w:p>
      <w:pPr>
        <w:pStyle w:val="ListBullet"/>
      </w:pPr>
      <w:r>
        <w:t>Los históricos deben ser de consulta y no modificarse sin un procedimiento controlado.</w:t>
      </w:r>
    </w:p>
    <w:p>
      <w:pPr>
        <w:pStyle w:val="Heading2"/>
      </w:pPr>
      <w:r>
        <w:t>4.11 Modificación y borrado</w:t>
      </w:r>
    </w:p>
    <w:p>
      <w:pPr>
        <w:pStyle w:val="BodyText"/>
      </w:pPr>
      <w:r>
        <w:t>Modificar una ficha puede afectar ventas futuras, pedidos automáticos, etiquetas, estadísticas y tienda virtual. El borrado debe reservarse para artículos creados por error y sin movimientos relacionados.</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TRAZABILIDAD  </w:t>
            </w:r>
            <w:r>
              <w:t>Si el artículo ya tiene compras, ventas, EAN o históricos, es preferible desactivarlo o corregirlo según el procedimiento del negocio antes que eliminarlo físicamente.</w:t>
            </w:r>
          </w:p>
        </w:tc>
      </w:tr>
    </w:tbl>
    <w:p>
      <w:pPr>
        <w:pStyle w:val="Heading2"/>
      </w:pPr>
      <w:r>
        <w:t>4.12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Código principal y descripción identifican inequívocamente el artículo.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IVA, PVP con IVA y PVP sin IVA son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Precio de coste A24, coste medio y márgenes han sido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Familia A14 y proveedor A32 existen y son los correctos.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Stock actual, mínimo y máximo tienen sentido para el negocio.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tarifas especiales se han comprobado después de cualquier cambio de coste o IVA.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nivel de puntos corresponde a la política comercial.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Cada EAN es único y descuenta la cantidad correcta.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imagen y los datos de tienda virtual no publican información incompleta.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cambios masivos de precio o stock disponen de copia previa e histórico.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figuras numeradas del capítulo conservan cuadros, números y leyendas coincidentes.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cambios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ARTÍCULO PREPARADO  </w:t>
            </w:r>
            <w:r>
              <w:t>La ficha puede utilizarse en Ventas, Compras y Pedidos cuando identificación, fiscalidad, coste, precios, clasificación, códigos auxiliares y existencias han quedado comprobados.</w:t>
            </w:r>
          </w:p>
        </w:tc>
      </w:tr>
    </w:tbl>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4EC"/>
            <w:tcMar>
              <w:top w:w="110" w:type="dxa"/>
              <w:start w:w="150" w:type="dxa"/>
              <w:bottom w:w="110" w:type="dxa"/>
              <w:end w:w="150" w:type="dxa"/>
            </w:tcMar>
            <w:vAlign w:val="center"/>
          </w:tcPr>
          <w:p>
            <w:r>
              <w:t>ESTADO: Capítulo actualizado con Puesto visible, atajos Ctrl, F1-F4 para ventas aparcadas y el nuevo acceso Históricos al histórico de operaciones. La figura principal es una composición documental sobre la captura real del 22/07/2026, porque todavía no se dispone de una captura directa posterior al último cambio.</w:t>
            </w:r>
          </w:p>
        </w:tc>
      </w:tr>
    </w:tbl>
    <w:p>
      <w:pPr/>
    </w:p>
    <w:p>
      <w:pPr>
        <w:pStyle w:val="Heading2"/>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080760" cy="3787362"/>
            <wp:docPr id="12" name="Picture 12" descr="Composición documental de la pantalla de Ventas actualizada con botón Históricos" title="Composición documental de la pantalla de Ventas actualizada con botón Históricos"/>
            <wp:cNvGraphicFramePr>
              <a:graphicFrameLocks noChangeAspect="1"/>
            </wp:cNvGraphicFramePr>
            <a:graphic>
              <a:graphicData uri="http://schemas.openxmlformats.org/drawingml/2006/picture">
                <pic:pic>
                  <pic:nvPicPr>
                    <pic:cNvPr id="0" name="01_ventas_actualizada_historicos.png"/>
                    <pic:cNvPicPr/>
                  </pic:nvPicPr>
                  <pic:blipFill>
                    <a:blip r:embed="rId28"/>
                    <a:stretch>
                      <a:fillRect/>
                    </a:stretch>
                  </pic:blipFill>
                  <pic:spPr>
                    <a:xfrm>
                      <a:off x="0" y="0"/>
                      <a:ext cx="6080760" cy="3787362"/>
                    </a:xfrm>
                    <a:prstGeom prst="rect"/>
                  </pic:spPr>
                </pic:pic>
              </a:graphicData>
            </a:graphic>
          </wp:inline>
        </w:drawing>
      </w:r>
    </w:p>
    <w:p>
      <w:pPr>
        <w:pStyle w:val="BodyText"/>
        <w:spacing w:after="160"/>
        <w:jc w:val="center"/>
      </w:pPr>
      <w:r>
        <w:rPr>
          <w:i/>
          <w:color w:val="464E5A"/>
          <w:sz w:val="18"/>
        </w:rPr>
        <w:t>Figura 5.1. Composición documental actualizada sobre una captura real de Ventas; incorpora el nuevo acceso Históricos.</w:t>
      </w:r>
    </w:p>
    <w:p>
      <w:pPr>
        <w:pStyle w:val="BodyText"/>
      </w:pPr>
      <w:r>
        <w:t>NOTA VISUAL: El botón Históricos se ha incorporado documentalmente en su zona funcional. La imagen no se presenta como captura directa posterior al cambio.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rPr>
          <w:cantSplit/>
        </w:trP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rPr>
          <w:cantSplit/>
        </w:trP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rPr>
          <w:cantSplit/>
        </w:trP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rPr>
          <w:cantSplit/>
        </w:trP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rPr>
          <w:cantSplit/>
        </w:trP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rPr>
          <w:cantSplit/>
        </w:trP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t>Total de la operación, QR VeriFactu y accesos a cobro, créditos, impresión, pedido e Históricos.</w:t>
            </w:r>
          </w:p>
        </w:tc>
      </w:tr>
      <w:tr>
        <w:trPr>
          <w:cantSplit/>
        </w:trP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rPr>
          <w:cantSplit/>
        </w:trP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t>Acciones rápidas mediante Ctrl, F1-F4, F5-F12 y ESC.</w:t>
            </w:r>
          </w:p>
        </w:tc>
      </w:tr>
    </w:tbl>
    <w:p>
      <w:pPr/>
    </w:p>
    <w:p>
      <w:pPr>
        <w:pStyle w:val="Heading2"/>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rPr>
          <w:cantSplit/>
        </w:trP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rPr>
          <w:cantSplit/>
        </w:trP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rPr>
          <w:cantSplit/>
        </w:trP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rPr>
          <w:cantSplit/>
        </w:trP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rPr>
          <w:cantSplit/>
        </w:trP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rPr>
          <w:cantSplit/>
        </w:trP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rPr>
          <w:cantSplit/>
        </w:trP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rPr>
          <w:cantSplit/>
        </w:trP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rPr>
          <w:cantSplit/>
        </w:trP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rPr>
          <w:cantSplit/>
        </w:trP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rPr>
          <w:cantSplit/>
        </w:trP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BodyText"/>
      </w:pPr>
      <w:r>
        <w:t>Las teclas F1, F2, F3 y F4 permiten conmutar directamente, sin utilizar el ratón: F1 abre la primera venta aparcada, F2 la segunda, F3 la tercera y F4 la cuarta.</w:t>
      </w:r>
    </w:p>
    <w:p>
      <w:pPr>
        <w:pStyle w:val="BodyText"/>
      </w:pPr>
      <w:r>
        <w:t>Después de conmutar, revise siempre cliente, líneas y total antes de continuar. Si hay menos de cuatro ventas aparcadas, solo estarán disponibles las posiciones existentes.</w:t>
      </w:r>
    </w:p>
    <w:p>
      <w:pPr>
        <w:pStyle w:val="Heading2"/>
      </w:pPr>
      <w:r>
        <w:t>5.6 Búsquedas, históricos y marcado</w:t>
      </w:r>
    </w:p>
    <w:p>
      <w:pPr>
        <w:pStyle w:val="BodyText"/>
      </w:pPr>
      <w:r>
        <w:t>Ventas dispone de dos accesos históricos con finalidades diferentes. El botón Histórico situado junto al filtro consulta antecedentes del artículo o del cliente; el nuevo botón Históricos abre directamente el Histórico de operaciones realizadas.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2300"/>
            <w:shd w:fill="15586A"/>
            <w:tcMar>
              <w:top w:w="80" w:type="dxa"/>
              <w:start w:w="100" w:type="dxa"/>
              <w:bottom w:w="80" w:type="dxa"/>
              <w:end w:w="100" w:type="dxa"/>
            </w:tcMar>
          </w:tcPr>
          <w:p>
            <w:r>
              <w:rPr>
                <w:b/>
                <w:color w:val="FFFFFF"/>
              </w:rPr>
              <w:t>Acceso</w:t>
            </w:r>
          </w:p>
        </w:tc>
        <w:tc>
          <w:tcPr>
            <w:tcW w:type="dxa" w:w="6700"/>
            <w:shd w:fill="15586A"/>
            <w:tcMar>
              <w:top w:w="80" w:type="dxa"/>
              <w:start w:w="100" w:type="dxa"/>
              <w:bottom w:w="80" w:type="dxa"/>
              <w:end w:w="100" w:type="dxa"/>
            </w:tcMar>
          </w:tcPr>
          <w:p>
            <w:r>
              <w:rPr>
                <w:b/>
                <w:color w:val="FFFFFF"/>
              </w:rPr>
              <w:t>Uso orientativo</w:t>
            </w:r>
          </w:p>
        </w:tc>
      </w:tr>
      <w:tr>
        <w:trPr>
          <w:cantSplit/>
        </w:trPr>
        <w:tc>
          <w:tcPr>
            <w:tcW w:type="dxa" w:w="2300"/>
            <w:tcMar>
              <w:top w:w="80" w:type="dxa"/>
              <w:start w:w="100" w:type="dxa"/>
              <w:bottom w:w="80" w:type="dxa"/>
              <w:end w:w="100" w:type="dxa"/>
            </w:tcMar>
          </w:tcPr>
          <w:p>
            <w:r>
              <w:t>Buscar</w:t>
            </w:r>
          </w:p>
        </w:tc>
        <w:tc>
          <w:tcPr>
            <w:tcW w:type="dxa" w:w="6700"/>
            <w:tcMar>
              <w:top w:w="80" w:type="dxa"/>
              <w:start w:w="100" w:type="dxa"/>
              <w:bottom w:w="80" w:type="dxa"/>
              <w:end w:w="100" w:type="dxa"/>
            </w:tcMar>
          </w:tcPr>
          <w:p>
            <w:r>
              <w:t>Localizar artículos cuando no se conoce el código o el EAN.</w:t>
            </w:r>
          </w:p>
        </w:tc>
      </w:tr>
      <w:tr>
        <w:trPr>
          <w:cantSplit/>
        </w:trPr>
        <w:tc>
          <w:tcPr>
            <w:tcW w:type="dxa" w:w="2300"/>
            <w:tcMar>
              <w:top w:w="80" w:type="dxa"/>
              <w:start w:w="100" w:type="dxa"/>
              <w:bottom w:w="80" w:type="dxa"/>
              <w:end w:w="100" w:type="dxa"/>
            </w:tcMar>
            <w:shd w:fill="EEF5F7"/>
          </w:tcPr>
          <w:p>
            <w:r>
              <w:t>Histórico + filtro</w:t>
            </w:r>
          </w:p>
        </w:tc>
        <w:tc>
          <w:tcPr>
            <w:tcW w:type="dxa" w:w="6700"/>
            <w:tcMar>
              <w:top w:w="80" w:type="dxa"/>
              <w:start w:w="100" w:type="dxa"/>
              <w:bottom w:w="80" w:type="dxa"/>
              <w:end w:w="100" w:type="dxa"/>
            </w:tcMar>
            <w:shd w:fill="EEF5F7"/>
          </w:tcPr>
          <w:p>
            <w:r>
              <w:t>Consultar ventas o precios anteriores del artículo o cliente según el filtro seleccionado.</w:t>
            </w:r>
          </w:p>
        </w:tc>
      </w:tr>
      <w:tr>
        <w:trPr>
          <w:cantSplit/>
        </w:trPr>
        <w:tc>
          <w:tcPr>
            <w:tcW w:type="dxa" w:w="2300"/>
            <w:tcMar>
              <w:top w:w="80" w:type="dxa"/>
              <w:start w:w="100" w:type="dxa"/>
              <w:bottom w:w="80" w:type="dxa"/>
              <w:end w:w="100" w:type="dxa"/>
            </w:tcMar>
          </w:tcPr>
          <w:p>
            <w:r>
              <w:t>Históricos</w:t>
            </w:r>
          </w:p>
        </w:tc>
        <w:tc>
          <w:tcPr>
            <w:tcW w:type="dxa" w:w="6700"/>
            <w:tcMar>
              <w:top w:w="80" w:type="dxa"/>
              <w:start w:w="100" w:type="dxa"/>
              <w:bottom w:w="80" w:type="dxa"/>
              <w:end w:w="100" w:type="dxa"/>
            </w:tcMar>
          </w:tcPr>
          <w:p>
            <w:r>
              <w:t>Abrir el Histórico de operaciones realizadas para localizar documentos y operaciones ya cerradas.</w:t>
            </w:r>
          </w:p>
        </w:tc>
      </w:tr>
      <w:tr>
        <w:trPr>
          <w:cantSplit/>
        </w:trPr>
        <w:tc>
          <w:tcPr>
            <w:tcW w:type="dxa" w:w="2300"/>
            <w:tcMar>
              <w:top w:w="80" w:type="dxa"/>
              <w:start w:w="100" w:type="dxa"/>
              <w:bottom w:w="80" w:type="dxa"/>
              <w:end w:w="100" w:type="dxa"/>
            </w:tcMar>
            <w:shd w:fill="EEF5F7"/>
          </w:tcPr>
          <w:p>
            <w:r>
              <w:t>Buscar abono</w:t>
            </w:r>
          </w:p>
        </w:tc>
        <w:tc>
          <w:tcPr>
            <w:tcW w:type="dxa" w:w="6700"/>
            <w:tcMar>
              <w:top w:w="80" w:type="dxa"/>
              <w:start w:w="100" w:type="dxa"/>
              <w:bottom w:w="80" w:type="dxa"/>
              <w:end w:w="100" w:type="dxa"/>
            </w:tcMar>
            <w:shd w:fill="EEF5F7"/>
          </w:tcPr>
          <w:p>
            <w:r>
              <w:t>Localizar un documento o línea de origen para una devolución o abono.</w:t>
            </w:r>
          </w:p>
        </w:tc>
      </w:tr>
      <w:tr>
        <w:trPr>
          <w:cantSplit/>
        </w:trPr>
        <w:tc>
          <w:tcPr>
            <w:tcW w:type="dxa" w:w="4929"/>
            <w:tcMar>
              <w:top w:w="80" w:type="dxa"/>
              <w:start w:w="100" w:type="dxa"/>
              <w:bottom w:w="80" w:type="dxa"/>
              <w:end w:w="100" w:type="dxa"/>
            </w:tcMar>
          </w:tcPr>
          <w:p>
            <w:r>
              <w:t>Marcar</w:t>
            </w:r>
          </w:p>
        </w:tc>
        <w:tc>
          <w:tcPr>
            <w:tcW w:type="dxa" w:w="4929"/>
            <w:tcMar>
              <w:top w:w="80" w:type="dxa"/>
              <w:start w:w="100" w:type="dxa"/>
              <w:bottom w:w="80" w:type="dxa"/>
              <w:end w:w="100" w:type="dxa"/>
            </w:tcMar>
          </w:tcPr>
          <w:p>
            <w: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jc w:val="center"/>
      </w:pPr>
      <w:r>
        <w:drawing>
          <wp:inline xmlns:a="http://schemas.openxmlformats.org/drawingml/2006/main" xmlns:pic="http://schemas.openxmlformats.org/drawingml/2006/picture">
            <wp:extent cx="4892040" cy="1467612"/>
            <wp:docPr id="15" name="Picture 15" descr="Flujo del botón Históricos hacia el histórico de operaciones" title="Flujo del botón Históricos hacia el histórico de operacion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892040" cy="1467612"/>
                    </a:xfrm>
                    <a:prstGeom prst="rect"/>
                  </pic:spPr>
                </pic:pic>
              </a:graphicData>
            </a:graphic>
          </wp:inline>
        </w:drawing>
      </w:r>
    </w:p>
    <w:p>
      <w:pPr>
        <w:pStyle w:val="BodyText"/>
        <w:jc w:val="center"/>
      </w:pPr>
      <w:r>
        <w:rPr>
          <w:i/>
          <w:color w:val="464E5A"/>
          <w:sz w:val="18"/>
        </w:rPr>
        <w:t>Figura 5.5. Flujo documental del nuevo botón Históricos hacia el Histórico de operaciones realizadas.</w:t>
      </w:r>
    </w:p>
    <w:p>
      <w:pPr>
        <w:pStyle w:val="Heading2"/>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CAPTURA PENDIENTE: </w:t>
            </w:r>
            <w:r>
              <w:t>Se incorporarán capturas reales del teclado numérico, alfanumérico y del configurador de productos cuando se disponga de una revisión visual definitiva con datos de ejemplo.</w:t>
            </w:r>
          </w:p>
        </w:tc>
      </w:tr>
    </w:tbl>
    <w:p>
      <w:pPr/>
    </w:p>
    <w:p>
      <w:pPr>
        <w:pStyle w:val="Heading2"/>
      </w:pPr>
      <w:r>
        <w:t>5.8 Totalización y cobro</w:t>
      </w:r>
    </w:p>
    <w:p>
      <w:pPr>
        <w:pStyle w:val="BodyText"/>
      </w:pPr>
      <w:r>
        <w:t>En la pantalla principal basta comprobar el Total de la venta. Al pulsar el botón verde Totalizar o F8, FacturLinEx genera el proceso de cobro correspondiente. No debe interpretarse la zona inferior como un resumen de cobro independiente y permanente.</w:t>
      </w:r>
    </w:p>
    <w:p>
      <w:pPr>
        <w:jc w:val="center"/>
      </w:pPr>
      <w:r>
        <w:drawing>
          <wp:inline xmlns:a="http://schemas.openxmlformats.org/drawingml/2006/main" xmlns:pic="http://schemas.openxmlformats.org/drawingml/2006/picture">
            <wp:extent cx="5806440" cy="2156678"/>
            <wp:docPr id="16" name="Picture 16" descr="Composición horizontal del total y las acciones principales de Ventas" title="Composición horizontal del total y las acciones principales de Ventas"/>
            <wp:cNvGraphicFramePr>
              <a:graphicFrameLocks noChangeAspect="1"/>
            </wp:cNvGraphicFramePr>
            <a:graphic>
              <a:graphicData uri="http://schemas.openxmlformats.org/drawingml/2006/picture">
                <pic:pic>
                  <pic:nvPicPr>
                    <pic:cNvPr id="0" name="02_total_acciones_historicos_horizontal.png"/>
                    <pic:cNvPicPr/>
                  </pic:nvPicPr>
                  <pic:blipFill>
                    <a:blip r:embed="rId31"/>
                    <a:stretch>
                      <a:fillRect/>
                    </a:stretch>
                  </pic:blipFill>
                  <pic:spPr>
                    <a:xfrm>
                      <a:off x="0" y="0"/>
                      <a:ext cx="5806440" cy="2156678"/>
                    </a:xfrm>
                    <a:prstGeom prst="rect"/>
                  </pic:spPr>
                </pic:pic>
              </a:graphicData>
            </a:graphic>
          </wp:inline>
        </w:drawing>
      </w:r>
    </w:p>
    <w:p>
      <w:pPr>
        <w:pStyle w:val="BodyText"/>
        <w:spacing w:after="160"/>
        <w:jc w:val="center"/>
      </w:pPr>
      <w:r>
        <w:rPr>
          <w:i/>
          <w:color w:val="464E5A"/>
          <w:sz w:val="18"/>
        </w:rPr>
        <w:t>Figura 5.6. Detalle del Total y de las acciones principales, incluido Históricos.</w:t>
      </w:r>
    </w:p>
    <w:p>
      <w:pPr>
        <w:pStyle w:val="BodyText"/>
        <w:ind w:left="317" w:hanging="317"/>
      </w:pPr>
      <w:r>
        <w:t>1. Compruebe el Total visible de la venta.</w:t>
      </w:r>
    </w:p>
    <w:p>
      <w:pPr>
        <w:pStyle w:val="BodyText"/>
        <w:ind w:left="317" w:hanging="317"/>
      </w:pPr>
      <w:r>
        <w:t>2. Pulse F8 o Totalizar para iniciar el cobro.</w:t>
      </w:r>
    </w:p>
    <w:p>
      <w:pPr>
        <w:pStyle w:val="BodyText"/>
        <w:ind w:left="317" w:hanging="317"/>
      </w:pPr>
      <w:r>
        <w:t>3. Seleccione o confirme la forma de pago en el panel generado.</w:t>
      </w:r>
    </w:p>
    <w:p>
      <w:pPr>
        <w:pStyle w:val="BodyText"/>
        <w:ind w:left="317" w:hanging="317"/>
      </w:pPr>
      <w:r>
        <w:t>4. Introduzca la entrega y revise el cambio solo cuando corresponda.</w:t>
      </w:r>
    </w:p>
    <w:p>
      <w:pPr>
        <w:pStyle w:val="BodyText"/>
        <w:ind w:left="317" w:hanging="317"/>
      </w:pPr>
      <w:r>
        <w:t>5. Confirme el documento o salida que corresponda.</w:t>
      </w:r>
    </w:p>
    <w:p>
      <w:pPr>
        <w:pStyle w:val="BodyText"/>
        <w:ind w:left="317" w:hanging="317"/>
      </w:pPr>
      <w:r>
        <w:t>6. Espere la confirmación final antes de iniciar otra venta.</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FF4D6"/>
            <w:tcMar>
              <w:top w:w="110" w:type="dxa"/>
              <w:start w:w="150" w:type="dxa"/>
              <w:bottom w:w="110" w:type="dxa"/>
              <w:end w:w="150" w:type="dxa"/>
            </w:tcMar>
            <w:vAlign w:val="center"/>
          </w:tcPr>
          <w:p>
            <w:r>
              <w:t>TOTALIZACIÓN: El dato principal de la pantalla de Ventas es el Total. Entrega y Cambio pertenecen al proceso de cobro que se genera al totalizar; antes de repetir una operación, compruebe si ya quedó registrada.</w:t>
            </w:r>
          </w:p>
        </w:tc>
      </w:tr>
    </w:tbl>
    <w:p>
      <w:pPr/>
    </w:p>
    <w:p>
      <w:pPr>
        <w:pStyle w:val="Heading2"/>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rPr>
          <w:cantSplit/>
        </w:trP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rPr>
          <w:cantSplit/>
        </w:trP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rPr>
          <w:cantSplit/>
        </w:trP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rPr>
          <w:cantSplit/>
        </w:trP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15586A"/>
            <w:tcMar>
              <w:top w:w="80" w:type="dxa"/>
              <w:start w:w="100" w:type="dxa"/>
              <w:bottom w:w="80" w:type="dxa"/>
              <w:end w:w="100" w:type="dxa"/>
            </w:tcMar>
          </w:tcPr>
          <w:p>
            <w:r>
              <w:rPr>
                <w:b/>
                <w:color w:val="FFFFFF"/>
              </w:rPr>
              <w:t>Atajo</w:t>
            </w:r>
          </w:p>
        </w:tc>
        <w:tc>
          <w:tcPr>
            <w:tcW w:type="dxa" w:w="7200"/>
            <w:shd w:fill="15586A"/>
            <w:tcMar>
              <w:top w:w="80" w:type="dxa"/>
              <w:start w:w="100" w:type="dxa"/>
              <w:bottom w:w="80" w:type="dxa"/>
              <w:end w:w="100" w:type="dxa"/>
            </w:tcMar>
          </w:tcPr>
          <w:p>
            <w:r>
              <w:rPr>
                <w:b/>
                <w:color w:val="FFFFFF"/>
              </w:rPr>
              <w:t>Acción</w:t>
            </w:r>
          </w:p>
        </w:tc>
      </w:tr>
      <w:tr>
        <w:trPr>
          <w:cantSplit/>
        </w:trPr>
        <w:tc>
          <w:tcPr>
            <w:tcW w:type="dxa" w:w="1800"/>
            <w:tcMar>
              <w:top w:w="80" w:type="dxa"/>
              <w:start w:w="100" w:type="dxa"/>
              <w:bottom w:w="80" w:type="dxa"/>
              <w:end w:w="100" w:type="dxa"/>
            </w:tcMar>
          </w:tcPr>
          <w:p>
            <w:r>
              <w:t>Ctrl+O</w:t>
            </w:r>
          </w:p>
        </w:tc>
        <w:tc>
          <w:tcPr>
            <w:tcW w:type="dxa" w:w="7200"/>
            <w:tcMar>
              <w:top w:w="80" w:type="dxa"/>
              <w:start w:w="100" w:type="dxa"/>
              <w:bottom w:w="80" w:type="dxa"/>
              <w:end w:w="100" w:type="dxa"/>
            </w:tcMar>
          </w:tcPr>
          <w:p>
            <w:r>
              <w:t>Código de cliente.</w:t>
            </w:r>
          </w:p>
        </w:tc>
      </w:tr>
      <w:tr>
        <w:trPr>
          <w:cantSplit/>
        </w:trPr>
        <w:tc>
          <w:tcPr>
            <w:tcW w:type="dxa" w:w="1800"/>
            <w:tcMar>
              <w:top w:w="80" w:type="dxa"/>
              <w:start w:w="100" w:type="dxa"/>
              <w:bottom w:w="80" w:type="dxa"/>
              <w:end w:w="100" w:type="dxa"/>
            </w:tcMar>
            <w:shd w:fill="EEF5F7"/>
          </w:tcPr>
          <w:p>
            <w:r>
              <w:t>Ctrl+U</w:t>
            </w:r>
          </w:p>
        </w:tc>
        <w:tc>
          <w:tcPr>
            <w:tcW w:type="dxa" w:w="7200"/>
            <w:tcMar>
              <w:top w:w="80" w:type="dxa"/>
              <w:start w:w="100" w:type="dxa"/>
              <w:bottom w:w="80" w:type="dxa"/>
              <w:end w:w="100" w:type="dxa"/>
            </w:tcMar>
            <w:shd w:fill="EEF5F7"/>
          </w:tcPr>
          <w:p>
            <w:r>
              <w:t>Nombre o búsqueda de cliente.</w:t>
            </w:r>
          </w:p>
        </w:tc>
      </w:tr>
      <w:tr>
        <w:trPr>
          <w:cantSplit/>
        </w:trPr>
        <w:tc>
          <w:tcPr>
            <w:tcW w:type="dxa" w:w="1800"/>
            <w:tcMar>
              <w:top w:w="80" w:type="dxa"/>
              <w:start w:w="100" w:type="dxa"/>
              <w:bottom w:w="80" w:type="dxa"/>
              <w:end w:w="100" w:type="dxa"/>
            </w:tcMar>
          </w:tcPr>
          <w:p>
            <w:r>
              <w:t>Ctrl+N</w:t>
            </w:r>
          </w:p>
        </w:tc>
        <w:tc>
          <w:tcPr>
            <w:tcW w:type="dxa" w:w="7200"/>
            <w:tcMar>
              <w:top w:w="80" w:type="dxa"/>
              <w:start w:w="100" w:type="dxa"/>
              <w:bottom w:w="80" w:type="dxa"/>
              <w:end w:w="100" w:type="dxa"/>
            </w:tcMar>
          </w:tcPr>
          <w:p>
            <w:r>
              <w:t>Aceptar la línea / acción asociada a Nuevo en la revisión estable.</w:t>
            </w:r>
          </w:p>
        </w:tc>
      </w:tr>
      <w:tr>
        <w:trPr>
          <w:cantSplit/>
        </w:trPr>
        <w:tc>
          <w:tcPr>
            <w:tcW w:type="dxa" w:w="1800"/>
            <w:tcMar>
              <w:top w:w="80" w:type="dxa"/>
              <w:start w:w="100" w:type="dxa"/>
              <w:bottom w:w="80" w:type="dxa"/>
              <w:end w:w="100" w:type="dxa"/>
            </w:tcMar>
            <w:shd w:fill="EEF5F7"/>
          </w:tcPr>
          <w:p>
            <w:r>
              <w:t>F1</w:t>
            </w:r>
          </w:p>
        </w:tc>
        <w:tc>
          <w:tcPr>
            <w:tcW w:type="dxa" w:w="7200"/>
            <w:tcMar>
              <w:top w:w="80" w:type="dxa"/>
              <w:start w:w="100" w:type="dxa"/>
              <w:bottom w:w="80" w:type="dxa"/>
              <w:end w:w="100" w:type="dxa"/>
            </w:tcMar>
            <w:shd w:fill="EEF5F7"/>
          </w:tcPr>
          <w:p>
            <w:r>
              <w:t>Conmutar a la primera venta aparcada.</w:t>
            </w:r>
          </w:p>
        </w:tc>
      </w:tr>
      <w:tr>
        <w:trPr>
          <w:cantSplit/>
        </w:trPr>
        <w:tc>
          <w:tcPr>
            <w:tcW w:type="dxa" w:w="1800"/>
            <w:tcMar>
              <w:top w:w="80" w:type="dxa"/>
              <w:start w:w="100" w:type="dxa"/>
              <w:bottom w:w="80" w:type="dxa"/>
              <w:end w:w="100" w:type="dxa"/>
            </w:tcMar>
          </w:tcPr>
          <w:p>
            <w:r>
              <w:t>F2</w:t>
            </w:r>
          </w:p>
        </w:tc>
        <w:tc>
          <w:tcPr>
            <w:tcW w:type="dxa" w:w="7200"/>
            <w:tcMar>
              <w:top w:w="80" w:type="dxa"/>
              <w:start w:w="100" w:type="dxa"/>
              <w:bottom w:w="80" w:type="dxa"/>
              <w:end w:w="100" w:type="dxa"/>
            </w:tcMar>
          </w:tcPr>
          <w:p>
            <w:r>
              <w:t>Conmutar a la segunda venta aparcada.</w:t>
            </w:r>
          </w:p>
        </w:tc>
      </w:tr>
      <w:tr>
        <w:trPr>
          <w:cantSplit/>
        </w:trPr>
        <w:tc>
          <w:tcPr>
            <w:tcW w:type="dxa" w:w="1800"/>
            <w:tcMar>
              <w:top w:w="80" w:type="dxa"/>
              <w:start w:w="100" w:type="dxa"/>
              <w:bottom w:w="80" w:type="dxa"/>
              <w:end w:w="100" w:type="dxa"/>
            </w:tcMar>
            <w:shd w:fill="EEF5F7"/>
          </w:tcPr>
          <w:p>
            <w:r>
              <w:t>F3</w:t>
            </w:r>
          </w:p>
        </w:tc>
        <w:tc>
          <w:tcPr>
            <w:tcW w:type="dxa" w:w="7200"/>
            <w:tcMar>
              <w:top w:w="80" w:type="dxa"/>
              <w:start w:w="100" w:type="dxa"/>
              <w:bottom w:w="80" w:type="dxa"/>
              <w:end w:w="100" w:type="dxa"/>
            </w:tcMar>
            <w:shd w:fill="EEF5F7"/>
          </w:tcPr>
          <w:p>
            <w:r>
              <w:t>Conmutar a la tercera venta aparcada.</w:t>
            </w:r>
          </w:p>
        </w:tc>
      </w:tr>
      <w:tr>
        <w:trPr>
          <w:cantSplit/>
        </w:trPr>
        <w:tc>
          <w:tcPr>
            <w:tcW w:type="dxa" w:w="1800"/>
            <w:tcMar>
              <w:top w:w="80" w:type="dxa"/>
              <w:start w:w="100" w:type="dxa"/>
              <w:bottom w:w="80" w:type="dxa"/>
              <w:end w:w="100" w:type="dxa"/>
            </w:tcMar>
          </w:tcPr>
          <w:p>
            <w:r>
              <w:t>F4</w:t>
            </w:r>
          </w:p>
        </w:tc>
        <w:tc>
          <w:tcPr>
            <w:tcW w:type="dxa" w:w="7200"/>
            <w:tcMar>
              <w:top w:w="80" w:type="dxa"/>
              <w:start w:w="100" w:type="dxa"/>
              <w:bottom w:w="80" w:type="dxa"/>
              <w:end w:w="100" w:type="dxa"/>
            </w:tcMar>
          </w:tcPr>
          <w:p>
            <w:r>
              <w:t>Conmutar a la cuarta venta aparcada.</w:t>
            </w:r>
          </w:p>
        </w:tc>
      </w:tr>
      <w:tr>
        <w:trPr>
          <w:cantSplit/>
        </w:trPr>
        <w:tc>
          <w:tcPr>
            <w:tcW w:type="dxa" w:w="1800"/>
            <w:tcMar>
              <w:top w:w="80" w:type="dxa"/>
              <w:start w:w="100" w:type="dxa"/>
              <w:bottom w:w="80" w:type="dxa"/>
              <w:end w:w="100" w:type="dxa"/>
            </w:tcMar>
            <w:shd w:fill="EEF5F7"/>
          </w:tcPr>
          <w:p>
            <w:r>
              <w:t>F5</w:t>
            </w:r>
          </w:p>
        </w:tc>
        <w:tc>
          <w:tcPr>
            <w:tcW w:type="dxa" w:w="7200"/>
            <w:tcMar>
              <w:top w:w="80" w:type="dxa"/>
              <w:start w:w="100" w:type="dxa"/>
              <w:bottom w:w="80" w:type="dxa"/>
              <w:end w:w="100" w:type="dxa"/>
            </w:tcMar>
            <w:shd w:fill="EEF5F7"/>
          </w:tcPr>
          <w:p>
            <w:r>
              <w:t>Unidades.</w:t>
            </w:r>
          </w:p>
        </w:tc>
      </w:tr>
      <w:tr>
        <w:trPr>
          <w:cantSplit/>
        </w:trPr>
        <w:tc>
          <w:tcPr>
            <w:tcW w:type="dxa" w:w="1800"/>
            <w:tcMar>
              <w:top w:w="80" w:type="dxa"/>
              <w:start w:w="100" w:type="dxa"/>
              <w:bottom w:w="80" w:type="dxa"/>
              <w:end w:w="100" w:type="dxa"/>
            </w:tcMar>
          </w:tcPr>
          <w:p>
            <w:r>
              <w:t>F6</w:t>
            </w:r>
          </w:p>
        </w:tc>
        <w:tc>
          <w:tcPr>
            <w:tcW w:type="dxa" w:w="7200"/>
            <w:tcMar>
              <w:top w:w="80" w:type="dxa"/>
              <w:start w:w="100" w:type="dxa"/>
              <w:bottom w:w="80" w:type="dxa"/>
              <w:end w:w="100" w:type="dxa"/>
            </w:tcMar>
          </w:tcPr>
          <w:p>
            <w:r>
              <w:t>PVP + IVA.</w:t>
            </w:r>
          </w:p>
        </w:tc>
      </w:tr>
      <w:tr>
        <w:trPr>
          <w:cantSplit/>
        </w:trPr>
        <w:tc>
          <w:tcPr>
            <w:tcW w:type="dxa" w:w="1800"/>
            <w:tcMar>
              <w:top w:w="80" w:type="dxa"/>
              <w:start w:w="100" w:type="dxa"/>
              <w:bottom w:w="80" w:type="dxa"/>
              <w:end w:w="100" w:type="dxa"/>
            </w:tcMar>
            <w:shd w:fill="EEF5F7"/>
          </w:tcPr>
          <w:p>
            <w:r>
              <w:t>F7</w:t>
            </w:r>
          </w:p>
        </w:tc>
        <w:tc>
          <w:tcPr>
            <w:tcW w:type="dxa" w:w="7200"/>
            <w:tcMar>
              <w:top w:w="80" w:type="dxa"/>
              <w:start w:w="100" w:type="dxa"/>
              <w:bottom w:w="80" w:type="dxa"/>
              <w:end w:w="100" w:type="dxa"/>
            </w:tcMar>
            <w:shd w:fill="EEF5F7"/>
          </w:tcPr>
          <w:p>
            <w:r>
              <w:t>Total de línea.</w:t>
            </w:r>
          </w:p>
        </w:tc>
      </w:tr>
      <w:tr>
        <w:trPr>
          <w:cantSplit/>
        </w:trPr>
        <w:tc>
          <w:tcPr>
            <w:tcW w:type="dxa" w:w="1800"/>
            <w:tcMar>
              <w:top w:w="80" w:type="dxa"/>
              <w:start w:w="100" w:type="dxa"/>
              <w:bottom w:w="80" w:type="dxa"/>
              <w:end w:w="100" w:type="dxa"/>
            </w:tcMar>
          </w:tcPr>
          <w:p>
            <w:r>
              <w:t>F8</w:t>
            </w:r>
          </w:p>
        </w:tc>
        <w:tc>
          <w:tcPr>
            <w:tcW w:type="dxa" w:w="7200"/>
            <w:tcMar>
              <w:top w:w="80" w:type="dxa"/>
              <w:start w:w="100" w:type="dxa"/>
              <w:bottom w:w="80" w:type="dxa"/>
              <w:end w:w="100" w:type="dxa"/>
            </w:tcMar>
          </w:tcPr>
          <w:p>
            <w:r>
              <w:t>Totalizar e iniciar el proceso de cobro.</w:t>
            </w:r>
          </w:p>
        </w:tc>
      </w:tr>
      <w:tr>
        <w:trPr>
          <w:cantSplit/>
        </w:trPr>
        <w:tc>
          <w:tcPr>
            <w:tcW w:type="dxa" w:w="1800"/>
            <w:tcMar>
              <w:top w:w="80" w:type="dxa"/>
              <w:start w:w="100" w:type="dxa"/>
              <w:bottom w:w="80" w:type="dxa"/>
              <w:end w:w="100" w:type="dxa"/>
            </w:tcMar>
            <w:shd w:fill="EEF5F7"/>
          </w:tcPr>
          <w:p>
            <w:r>
              <w:t>F9</w:t>
            </w:r>
          </w:p>
        </w:tc>
        <w:tc>
          <w:tcPr>
            <w:tcW w:type="dxa" w:w="7200"/>
            <w:tcMar>
              <w:top w:w="80" w:type="dxa"/>
              <w:start w:w="100" w:type="dxa"/>
              <w:bottom w:w="80" w:type="dxa"/>
              <w:end w:w="100" w:type="dxa"/>
            </w:tcMar>
            <w:shd w:fill="EEF5F7"/>
          </w:tcPr>
          <w:p>
            <w:r>
              <w:t>Ticket.</w:t>
            </w:r>
          </w:p>
        </w:tc>
      </w:tr>
      <w:tr>
        <w:trPr>
          <w:cantSplit/>
        </w:trPr>
        <w:tc>
          <w:tcPr>
            <w:tcW w:type="dxa" w:w="4929"/>
            <w:tcMar>
              <w:top w:w="80" w:type="dxa"/>
              <w:start w:w="100" w:type="dxa"/>
              <w:bottom w:w="80" w:type="dxa"/>
              <w:end w:w="100" w:type="dxa"/>
            </w:tcMar>
          </w:tcPr>
          <w:p>
            <w:r>
              <w:t>F10</w:t>
            </w:r>
          </w:p>
        </w:tc>
        <w:tc>
          <w:tcPr>
            <w:tcW w:type="dxa" w:w="4929"/>
            <w:tcMar>
              <w:top w:w="80" w:type="dxa"/>
              <w:start w:w="100" w:type="dxa"/>
              <w:bottom w:w="80" w:type="dxa"/>
              <w:end w:w="100" w:type="dxa"/>
            </w:tcMar>
          </w:tcPr>
          <w:p>
            <w:r>
              <w:t>Albarán.</w:t>
            </w:r>
          </w:p>
        </w:tc>
      </w:tr>
      <w:tr>
        <w:trPr>
          <w:cantSplit/>
        </w:trPr>
        <w:tc>
          <w:tcPr>
            <w:tcW w:type="dxa" w:w="4929"/>
            <w:tcMar>
              <w:top w:w="80" w:type="dxa"/>
              <w:start w:w="100" w:type="dxa"/>
              <w:bottom w:w="80" w:type="dxa"/>
              <w:end w:w="100" w:type="dxa"/>
            </w:tcMar>
            <w:shd w:fill="EEF5F7"/>
          </w:tcPr>
          <w:p>
            <w:r>
              <w:t>F11</w:t>
            </w:r>
          </w:p>
        </w:tc>
        <w:tc>
          <w:tcPr>
            <w:tcW w:type="dxa" w:w="4929"/>
            <w:tcMar>
              <w:top w:w="80" w:type="dxa"/>
              <w:start w:w="100" w:type="dxa"/>
              <w:bottom w:w="80" w:type="dxa"/>
              <w:end w:w="100" w:type="dxa"/>
            </w:tcMar>
            <w:shd w:fill="EEF5F7"/>
          </w:tcPr>
          <w:p>
            <w:r>
              <w:t>Factura / descuento según el contexto.</w:t>
            </w:r>
          </w:p>
        </w:tc>
      </w:tr>
      <w:tr>
        <w:trPr>
          <w:cantSplit/>
        </w:trPr>
        <w:tc>
          <w:tcPr>
            <w:tcW w:type="dxa" w:w="4929"/>
            <w:tcMar>
              <w:top w:w="80" w:type="dxa"/>
              <w:start w:w="100" w:type="dxa"/>
              <w:bottom w:w="80" w:type="dxa"/>
              <w:end w:w="100" w:type="dxa"/>
            </w:tcMar>
          </w:tcPr>
          <w:p>
            <w:r>
              <w:t>F12</w:t>
            </w:r>
          </w:p>
        </w:tc>
        <w:tc>
          <w:tcPr>
            <w:tcW w:type="dxa" w:w="4929"/>
            <w:tcMar>
              <w:top w:w="80" w:type="dxa"/>
              <w:start w:w="100" w:type="dxa"/>
              <w:bottom w:w="80" w:type="dxa"/>
              <w:end w:w="100" w:type="dxa"/>
            </w:tcMar>
          </w:tcPr>
          <w:p>
            <w:r>
              <w:t>Usuario.</w:t>
            </w:r>
          </w:p>
        </w:tc>
      </w:tr>
      <w:tr>
        <w:trPr>
          <w:cantSplit/>
        </w:trPr>
        <w:tc>
          <w:tcPr>
            <w:tcW w:type="dxa" w:w="4929"/>
            <w:tcMar>
              <w:top w:w="80" w:type="dxa"/>
              <w:start w:w="100" w:type="dxa"/>
              <w:bottom w:w="80" w:type="dxa"/>
              <w:end w:w="100" w:type="dxa"/>
            </w:tcMar>
            <w:shd w:fill="EEF5F7"/>
          </w:tcPr>
          <w:p>
            <w:r>
              <w:t>ESC</w:t>
            </w:r>
          </w:p>
        </w:tc>
        <w:tc>
          <w:tcPr>
            <w:tcW w:type="dxa" w:w="4929"/>
            <w:tcMar>
              <w:top w:w="80" w:type="dxa"/>
              <w:start w:w="100" w:type="dxa"/>
              <w:bottom w:w="80" w:type="dxa"/>
              <w:end w:w="100" w:type="dxa"/>
            </w:tcMar>
            <w:shd w:fill="EEF5F7"/>
          </w:tcPr>
          <w:p>
            <w:r>
              <w:t>Cerrar la pantalla principal; si hay un panel auxiliar, cancelarlo primero.</w:t>
            </w:r>
          </w:p>
        </w:tc>
      </w:tr>
    </w:tbl>
    <w:p>
      <w:pPr/>
    </w:p>
    <w:p>
      <w:pPr>
        <w:pStyle w:val="Heading2"/>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rPr>
          <w:cantSplit/>
        </w:trP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rPr>
          <w:cantSplit/>
        </w:trP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rPr>
          <w:cantSplit/>
        </w:trP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rPr>
          <w:cantSplit/>
        </w:trP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rPr>
          <w:cantSplit/>
        </w:trP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rPr>
          <w:cantSplit/>
        </w:trP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pPr>
      <w:r>
        <w:t>5.15 Lista final de comprobación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Caja e informe de IVA por períodos validados. El módulo Créditos está modernizado, con algunos comportamientos todavía sensibles.</w:t>
            </w:r>
          </w:p>
        </w:tc>
      </w:tr>
    </w:tbl>
    <w:p>
      <w:pPr>
        <w:spacing w:after="20"/>
      </w:pPr>
    </w:p>
    <w:p>
      <w:pPr>
        <w:pStyle w:val="Heading2"/>
        <w:keepNext/>
      </w:pPr>
      <w:r>
        <w:t>6.1 Apertura, movimientos y cierre</w:t>
      </w:r>
    </w:p>
    <w:p>
      <w:pPr>
        <w:pStyle w:val="BodyText"/>
        <w:keepLines w:val="0"/>
        <w:spacing w:after="100" w:line="259" w:lineRule="auto"/>
        <w:ind w:left="0"/>
      </w:pPr>
      <w:r>
        <w:rPr>
          <w:rFonts w:ascii="Carlito" w:hAnsi="Carlito" w:eastAsia="Carlito"/>
          <w:i w:val="0"/>
          <w:sz w:val="21"/>
        </w:rPr>
        <w:t>La gestión de caja debe reflejar cobros, pagos, ingresos, retiradas y arqueos. Los importes negativos deben visualizarse con signo menos y color diferenciado, sin impedir su registro cuando sean válidos.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Saldo inicial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Movimientos del día completos.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Pagos e ingresos con concepto identificable.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Efectivo contado y comparado con el saldo teórico.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Diferencias justificadas.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Cierre o arqueo guardado e impreso cuando proceda.</w:t>
            </w:r>
          </w:p>
        </w:tc>
      </w:tr>
    </w:tbl>
    <w:p>
      <w:pPr>
        <w:spacing w:after="40"/>
      </w:pPr>
    </w:p>
    <w:p>
      <w:pPr>
        <w:pStyle w:val="Heading2"/>
        <w:keepNext/>
      </w:pPr>
      <w:r>
        <w:t>6.2 Créditos de clientes</w:t>
      </w:r>
    </w:p>
    <w:p>
      <w:pPr>
        <w:pStyle w:val="BodyText"/>
        <w:keepLines w:val="0"/>
        <w:spacing w:after="100" w:line="259" w:lineRule="auto"/>
        <w:ind w:left="0"/>
      </w:pPr>
      <w:r>
        <w:rPr>
          <w:rFonts w:ascii="Carlito" w:hAnsi="Carlito" w:eastAsia="Carlito"/>
          <w:i w:val="0"/>
          <w:sz w:val="21"/>
        </w:rPr>
        <w:t>El módulo Créditos permite registrar importes pendientes y saldarlos posteriormente. La selección debe ser legible y el cuadro de totales debe destacar claramente.</w:t>
      </w:r>
    </w:p>
    <w:p>
      <w:pPr>
        <w:pStyle w:val="ListBullet"/>
        <w:spacing w:after="40" w:line="240" w:lineRule="auto"/>
      </w:pPr>
      <w:r>
        <w:rPr>
          <w:rFonts w:ascii="Carlito" w:hAnsi="Carlito" w:eastAsia="Carlito"/>
          <w:sz w:val="20"/>
        </w:rPr>
        <w:t>Para borrar una línea, seleccionarla antes y utilizar el botón Borrar.</w:t>
      </w:r>
    </w:p>
    <w:p>
      <w:pPr>
        <w:pStyle w:val="ListBullet"/>
        <w:spacing w:after="40" w:line="240" w:lineRule="auto"/>
      </w:pPr>
      <w:r>
        <w:rPr>
          <w:rFonts w:ascii="Carlito" w:hAnsi="Carlito" w:eastAsia="Carlito"/>
          <w:sz w:val="20"/>
        </w:rPr>
        <w:t>La operación de borrado debe comprobar que la línea es la correcta y puede requerir confirmación.</w:t>
      </w:r>
    </w:p>
    <w:p>
      <w:pPr>
        <w:pStyle w:val="ListBullet"/>
        <w:spacing w:after="40" w:line="240" w:lineRule="auto"/>
      </w:pPr>
      <w:r>
        <w:rPr>
          <w:rFonts w:ascii="Carlito" w:hAnsi="Carlito" w:eastAsia="Carlito"/>
          <w:sz w:val="20"/>
        </w:rPr>
        <w:t>Saldar debe considerar el origen del crédito: albarán, ticket o factura.</w:t>
      </w:r>
    </w:p>
    <w:p>
      <w:pPr>
        <w:pStyle w:val="ListBullet"/>
        <w:spacing w:after="40" w:line="240" w:lineRule="auto"/>
      </w:pPr>
      <w:r>
        <w:rPr>
          <w:rFonts w:ascii="Carlito" w:hAnsi="Carlito" w:eastAsia="Carlito"/>
          <w:sz w:val="20"/>
        </w:rPr>
        <w:t>El selector de series debe mostrar texto con contraste suficiente.</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HISTÓRICO: </w:t>
            </w:r>
            <w:r>
              <w:rPr>
                <w:rFonts w:ascii="Carlito" w:hAnsi="Carlito" w:eastAsia="Carlito"/>
                <w:color w:val="000000"/>
                <w:sz w:val="19"/>
              </w:rPr>
              <w:t>Las correcciones del pago no deben perder el control de los datos importados desde el histórico. Si el origen es un albarán, no debe exigirse una serie de ticket inexistente.</w:t>
            </w:r>
          </w:p>
        </w:tc>
      </w:tr>
    </w:tbl>
    <w:p>
      <w:pPr>
        <w:spacing w:after="20"/>
      </w:pPr>
    </w:p>
    <w:p>
      <w:pPr>
        <w:pStyle w:val="Heading2"/>
        <w:keepNext/>
      </w:pPr>
      <w:r>
        <w:t>6.3 Informe de IVA por períodos</w:t>
      </w:r>
    </w:p>
    <w:p>
      <w:pPr>
        <w:pStyle w:val="BodyText"/>
        <w:keepLines w:val="0"/>
        <w:spacing w:after="100" w:line="259" w:lineRule="auto"/>
        <w:ind w:left="0"/>
      </w:pPr>
      <w:r>
        <w:rPr>
          <w:rFonts w:ascii="Carlito" w:hAnsi="Carlito" w:eastAsia="Carlito"/>
          <w:i w:val="0"/>
          <w:sz w:val="21"/>
        </w:rPr>
        <w:t>El informe de IVA permite seleccionar mes, trimestre, año o un período libre. Puede obtenerse por puesto o de forma global, utilizando los datos de caja del período.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Abrir el informe de IVA por períodos.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Seleccionar el tipo de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Indicar fechas, tienda o puesto cuando corresponda.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Generar el PDF y abrir la previsualización.</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Comprobar bases, cuotas, tipos de IVA y totales.</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VALIDADO: </w:t>
            </w:r>
            <w:r>
              <w:rPr>
                <w:rFonts w:ascii="Carlito" w:hAnsi="Carlito" w:eastAsia="Carlito"/>
                <w:color w:val="000000"/>
                <w:sz w:val="19"/>
              </w:rPr>
              <w:t>La generación directa de PDF con previsualización fue comprobada como correcta.</w:t>
            </w:r>
          </w:p>
        </w:tc>
      </w:tr>
    </w:tbl>
    <w:p>
      <w:pPr>
        <w:spacing w:after="20"/>
      </w:pPr>
    </w:p>
    <w:p>
      <w:pPr>
        <w:pStyle w:val="Heading2"/>
        <w:keepNext/>
      </w:pPr>
      <w:r>
        <w:t>6.4 Errores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798"/>
            <w:shd w:fill="1F4E78"/>
            <w:vAlign w:val="center"/>
          </w:tcPr>
          <w:p>
            <w:r>
              <w:rPr>
                <w:rFonts w:ascii="Carlito" w:hAnsi="Carlito" w:eastAsia="Carlito"/>
                <w:b/>
                <w:color w:val="FFFFFF"/>
                <w:sz w:val="18"/>
              </w:rPr>
              <w:t>Síntoma</w:t>
            </w:r>
          </w:p>
        </w:tc>
        <w:tc>
          <w:tcPr>
            <w:tcW w:type="dxa" w:w="5556"/>
            <w:shd w:fill="1F4E78"/>
            <w:vAlign w:val="center"/>
          </w:tcPr>
          <w:p>
            <w:r>
              <w:rPr>
                <w:rFonts w:ascii="Carlito" w:hAnsi="Carlito" w:eastAsia="Carlito"/>
                <w:b/>
                <w:color w:val="FFFFFF"/>
                <w:sz w:val="18"/>
              </w:rPr>
              <w:t>Comprobación</w:t>
            </w:r>
          </w:p>
        </w:tc>
      </w:tr>
      <w:tr>
        <w:trPr>
          <w:cantSplit/>
        </w:trPr>
        <w:tc>
          <w:tcPr>
            <w:tcW w:type="dxa" w:w="3798"/>
            <w:vAlign w:val="center"/>
          </w:tcPr>
          <w:p>
            <w:r>
              <w:rPr>
                <w:rFonts w:ascii="Carlito" w:hAnsi="Carlito" w:eastAsia="Carlito"/>
                <w:sz w:val="18"/>
              </w:rPr>
              <w:t>No se borra un crédito</w:t>
            </w:r>
          </w:p>
        </w:tc>
        <w:tc>
          <w:tcPr>
            <w:tcW w:type="dxa" w:w="5556"/>
            <w:vAlign w:val="center"/>
          </w:tcPr>
          <w:p>
            <w:r>
              <w:rPr>
                <w:rFonts w:ascii="Carlito" w:hAnsi="Carlito" w:eastAsia="Carlito"/>
                <w:sz w:val="18"/>
              </w:rPr>
              <w:t>Seleccionar la línea, revisar el botón Borrar y confirmar permisos.</w:t>
            </w:r>
          </w:p>
        </w:tc>
      </w:tr>
      <w:tr>
        <w:trPr>
          <w:cantSplit/>
        </w:trPr>
        <w:tc>
          <w:tcPr>
            <w:tcW w:type="dxa" w:w="3798"/>
            <w:shd w:fill="F2F2F2"/>
            <w:vAlign w:val="center"/>
          </w:tcPr>
          <w:p>
            <w:r>
              <w:rPr>
                <w:rFonts w:ascii="Carlito" w:hAnsi="Carlito" w:eastAsia="Carlito"/>
                <w:sz w:val="18"/>
              </w:rPr>
              <w:t>Pide serie y número al abonar un albarán</w:t>
            </w:r>
          </w:p>
        </w:tc>
        <w:tc>
          <w:tcPr>
            <w:tcW w:type="dxa" w:w="5556"/>
            <w:shd w:fill="F2F2F2"/>
            <w:vAlign w:val="center"/>
          </w:tcPr>
          <w:p>
            <w:r>
              <w:rPr>
                <w:rFonts w:ascii="Carlito" w:hAnsi="Carlito" w:eastAsia="Carlito"/>
                <w:sz w:val="18"/>
              </w:rPr>
              <w:t>Verificar que no se está tratando el albarán como ticket.</w:t>
            </w:r>
          </w:p>
        </w:tc>
      </w:tr>
      <w:tr>
        <w:trPr>
          <w:cantSplit/>
        </w:trPr>
        <w:tc>
          <w:tcPr>
            <w:tcW w:type="dxa" w:w="3798"/>
            <w:vAlign w:val="center"/>
          </w:tcPr>
          <w:p>
            <w:r>
              <w:rPr>
                <w:rFonts w:ascii="Carlito" w:hAnsi="Carlito" w:eastAsia="Carlito"/>
                <w:sz w:val="18"/>
              </w:rPr>
              <w:t>Totales poco visibles</w:t>
            </w:r>
          </w:p>
        </w:tc>
        <w:tc>
          <w:tcPr>
            <w:tcW w:type="dxa" w:w="5556"/>
            <w:vAlign w:val="center"/>
          </w:tcPr>
          <w:p>
            <w:r>
              <w:rPr>
                <w:rFonts w:ascii="Carlito" w:hAnsi="Carlito" w:eastAsia="Carlito"/>
                <w:sz w:val="18"/>
              </w:rPr>
              <w:t>Comprobar versión del formulario y contraste de la fila seleccionada.</w:t>
            </w:r>
          </w:p>
        </w:tc>
      </w:tr>
      <w:tr>
        <w:trPr>
          <w:cantSplit/>
        </w:trPr>
        <w:tc>
          <w:tcPr>
            <w:tcW w:type="dxa" w:w="3798"/>
            <w:shd w:fill="F2F2F2"/>
            <w:vAlign w:val="center"/>
          </w:tcPr>
          <w:p>
            <w:r>
              <w:rPr>
                <w:rFonts w:ascii="Carlito" w:hAnsi="Carlito" w:eastAsia="Carlito"/>
                <w:sz w:val="18"/>
              </w:rPr>
              <w:t>Importe negativo sin signo</w:t>
            </w:r>
          </w:p>
        </w:tc>
        <w:tc>
          <w:tcPr>
            <w:tcW w:type="dxa" w:w="5556"/>
            <w:shd w:fill="F2F2F2"/>
            <w:vAlign w:val="center"/>
          </w:tcPr>
          <w:p>
            <w:r>
              <w:rPr>
                <w:rFonts w:ascii="Carlito" w:hAnsi="Carlito" w:eastAsia="Carlito"/>
                <w:sz w:val="18"/>
              </w:rPr>
              <w:t>Revisar formato y evento de dibujo del grid.</w:t>
            </w:r>
          </w:p>
        </w:tc>
      </w:tr>
    </w:tbl>
    <w:p>
      <w:pPr>
        <w:spacing w:after="40"/>
      </w:pPr>
    </w:p>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Pedido automático por proveedor en versión final provisional para pruebas reales.</w:t>
            </w:r>
          </w:p>
        </w:tc>
      </w:tr>
    </w:tbl>
    <w:p>
      <w:pPr>
        <w:spacing w:after="20"/>
      </w:pPr>
    </w:p>
    <w:p>
      <w:pPr>
        <w:pStyle w:val="Heading2"/>
        <w:keepNext/>
      </w:pPr>
      <w:r>
        <w:t>7.1 Pedidos a proveedores</w:t>
      </w:r>
    </w:p>
    <w:p>
      <w:pPr>
        <w:pStyle w:val="BodyText"/>
        <w:keepLines w:val="0"/>
        <w:spacing w:after="100" w:line="259" w:lineRule="auto"/>
        <w:ind w:left="0"/>
      </w:pPr>
      <w:r>
        <w:rPr>
          <w:rFonts w:ascii="Carlito" w:hAnsi="Carlito" w:eastAsia="Carlito"/>
          <w:i w:val="0"/>
          <w:sz w:val="21"/>
        </w:rPr>
        <w:t>Los pedidos reúnen artículos, cantidades, proveedor y condiciones de compra. Antes de generar un pedido real debe revisarse que los códigos, unidades y proveedor sean correctos.</w:t>
      </w:r>
    </w:p>
    <w:p>
      <w:pPr>
        <w:pStyle w:val="Heading2"/>
        <w:keepNext/>
      </w:pPr>
      <w:r>
        <w:t>7.2 Pedido automático por proveedor</w:t>
      </w:r>
    </w:p>
    <w:p>
      <w:pPr>
        <w:pStyle w:val="BodyText"/>
        <w:keepLines w:val="0"/>
        <w:spacing w:after="100" w:line="259" w:lineRule="auto"/>
        <w:ind w:left="0"/>
      </w:pPr>
      <w:r>
        <w:rPr>
          <w:rFonts w:ascii="Carlito" w:hAnsi="Carlito" w:eastAsia="Carlito"/>
          <w:i w:val="0"/>
          <w:sz w:val="21"/>
        </w:rPr>
        <w:t>El pedido sugerido se calcula principalmente a partir de las ventas, dado que las existencias pueden no ser totalmente fiables. El cálculo utiliza días de ventas, días de cobertura y stock disponible.</w:t>
      </w:r>
    </w:p>
    <w:p>
      <w:pPr>
        <w:pStyle w:val="BodyText"/>
        <w:keepLines w:val="0"/>
        <w:spacing w:after="100" w:line="259" w:lineRule="auto"/>
        <w:ind w:left="0"/>
      </w:pPr>
      <w:r>
        <w:rPr>
          <w:rFonts w:ascii="Carlito" w:hAnsi="Carlito" w:eastAsia="Carlito"/>
          <w:i w:val="0"/>
          <w:sz w:val="21"/>
        </w:rPr>
        <w:t>Fórmula orientativa: promedio diario de ventas x días de cobertura - stock actual. El resultado debe revisarse antes de convertirlo en pedido real.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438"/>
            <w:shd w:fill="1F4E78"/>
            <w:vAlign w:val="center"/>
          </w:tcPr>
          <w:p>
            <w:r>
              <w:rPr>
                <w:rFonts w:ascii="Carlito" w:hAnsi="Carlito" w:eastAsia="Carlito"/>
                <w:b/>
                <w:color w:val="FFFFFF"/>
                <w:sz w:val="18"/>
              </w:rPr>
              <w:t>Parámetro</w:t>
            </w:r>
          </w:p>
        </w:tc>
        <w:tc>
          <w:tcPr>
            <w:tcW w:type="dxa" w:w="6917"/>
            <w:shd w:fill="1F4E78"/>
            <w:vAlign w:val="center"/>
          </w:tcPr>
          <w:p>
            <w:r>
              <w:rPr>
                <w:rFonts w:ascii="Carlito" w:hAnsi="Carlito" w:eastAsia="Carlito"/>
                <w:b/>
                <w:color w:val="FFFFFF"/>
                <w:sz w:val="18"/>
              </w:rPr>
              <w:t>Descripción</w:t>
            </w:r>
          </w:p>
        </w:tc>
      </w:tr>
      <w:tr>
        <w:trPr>
          <w:cantSplit/>
        </w:trPr>
        <w:tc>
          <w:tcPr>
            <w:tcW w:type="dxa" w:w="2438"/>
            <w:vAlign w:val="center"/>
          </w:tcPr>
          <w:p>
            <w:r>
              <w:rPr>
                <w:rFonts w:ascii="Carlito" w:hAnsi="Carlito" w:eastAsia="Carlito"/>
                <w:sz w:val="18"/>
              </w:rPr>
              <w:t>Días de ventas</w:t>
            </w:r>
          </w:p>
        </w:tc>
        <w:tc>
          <w:tcPr>
            <w:tcW w:type="dxa" w:w="6917"/>
            <w:vAlign w:val="center"/>
          </w:tcPr>
          <w:p>
            <w:r>
              <w:rPr>
                <w:rFonts w:ascii="Carlito" w:hAnsi="Carlito" w:eastAsia="Carlito"/>
                <w:sz w:val="18"/>
              </w:rPr>
              <w:t>Período histórico utilizado para calcular el consumo medio.</w:t>
            </w:r>
          </w:p>
        </w:tc>
      </w:tr>
      <w:tr>
        <w:trPr>
          <w:cantSplit/>
        </w:trPr>
        <w:tc>
          <w:tcPr>
            <w:tcW w:type="dxa" w:w="2438"/>
            <w:shd w:fill="F2F2F2"/>
            <w:vAlign w:val="center"/>
          </w:tcPr>
          <w:p>
            <w:r>
              <w:rPr>
                <w:rFonts w:ascii="Carlito" w:hAnsi="Carlito" w:eastAsia="Carlito"/>
                <w:sz w:val="18"/>
              </w:rPr>
              <w:t>Días de cobertura</w:t>
            </w:r>
          </w:p>
        </w:tc>
        <w:tc>
          <w:tcPr>
            <w:tcW w:type="dxa" w:w="6917"/>
            <w:shd w:fill="F2F2F2"/>
            <w:vAlign w:val="center"/>
          </w:tcPr>
          <w:p>
            <w:r>
              <w:rPr>
                <w:rFonts w:ascii="Carlito" w:hAnsi="Carlito" w:eastAsia="Carlito"/>
                <w:sz w:val="18"/>
              </w:rPr>
              <w:t>Número de días que se desea cubrir con el pedido.</w:t>
            </w:r>
          </w:p>
        </w:tc>
      </w:tr>
      <w:tr>
        <w:trPr>
          <w:cantSplit/>
        </w:trPr>
        <w:tc>
          <w:tcPr>
            <w:tcW w:type="dxa" w:w="2438"/>
            <w:vAlign w:val="center"/>
          </w:tcPr>
          <w:p>
            <w:r>
              <w:rPr>
                <w:rFonts w:ascii="Carlito" w:hAnsi="Carlito" w:eastAsia="Carlito"/>
                <w:sz w:val="18"/>
              </w:rPr>
              <w:t>Proveedor</w:t>
            </w:r>
          </w:p>
        </w:tc>
        <w:tc>
          <w:tcPr>
            <w:tcW w:type="dxa" w:w="6917"/>
            <w:vAlign w:val="center"/>
          </w:tcPr>
          <w:p>
            <w:r>
              <w:rPr>
                <w:rFonts w:ascii="Carlito" w:hAnsi="Carlito" w:eastAsia="Carlito"/>
                <w:sz w:val="18"/>
              </w:rPr>
              <w:t>Filtro por proveedor seleccionado.</w:t>
            </w:r>
          </w:p>
        </w:tc>
      </w:tr>
      <w:tr>
        <w:trPr>
          <w:cantSplit/>
        </w:trPr>
        <w:tc>
          <w:tcPr>
            <w:tcW w:type="dxa" w:w="2438"/>
            <w:shd w:fill="F2F2F2"/>
            <w:vAlign w:val="center"/>
          </w:tcPr>
          <w:p>
            <w:r>
              <w:rPr>
                <w:rFonts w:ascii="Carlito" w:hAnsi="Carlito" w:eastAsia="Carlito"/>
                <w:sz w:val="18"/>
              </w:rPr>
              <w:t>Excluir sin ventas</w:t>
            </w:r>
          </w:p>
        </w:tc>
        <w:tc>
          <w:tcPr>
            <w:tcW w:type="dxa" w:w="6917"/>
            <w:shd w:fill="F2F2F2"/>
            <w:vAlign w:val="center"/>
          </w:tcPr>
          <w:p>
            <w:r>
              <w:rPr>
                <w:rFonts w:ascii="Carlito" w:hAnsi="Carlito" w:eastAsia="Carlito"/>
                <w:sz w:val="18"/>
              </w:rPr>
              <w:t>Evita sugerir artículos sin movimiento reciente.</w:t>
            </w:r>
          </w:p>
        </w:tc>
      </w:tr>
      <w:tr>
        <w:trPr>
          <w:cantSplit/>
        </w:trPr>
        <w:tc>
          <w:tcPr>
            <w:tcW w:type="dxa" w:w="2438"/>
            <w:vAlign w:val="center"/>
          </w:tcPr>
          <w:p>
            <w:r>
              <w:rPr>
                <w:rFonts w:ascii="Carlito" w:hAnsi="Carlito" w:eastAsia="Carlito"/>
                <w:sz w:val="18"/>
              </w:rPr>
              <w:t>Límite de líneas</w:t>
            </w:r>
          </w:p>
        </w:tc>
        <w:tc>
          <w:tcPr>
            <w:tcW w:type="dxa" w:w="6917"/>
            <w:vAlign w:val="center"/>
          </w:tcPr>
          <w:p>
            <w:r>
              <w:rPr>
                <w:rFonts w:ascii="Carlito" w:hAnsi="Carlito" w:eastAsia="Carlito"/>
                <w:sz w:val="18"/>
              </w:rPr>
              <w:t>Controla el tamaño de la propuesta.</w:t>
            </w:r>
          </w:p>
        </w:tc>
      </w:tr>
    </w:tbl>
    <w:p>
      <w:pPr>
        <w:spacing w:after="40"/>
      </w:pP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proveedor por código o nombre.</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días de ventas y cobertura.</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Aplicar filtros y generar la propuesta.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Ordenar columnas y revisar cantidades.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Exportar a CSV, PDF o impresión si se desea.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Crear un borrador o pedido real únicamente después de la revisión.</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NO AUTOMÁTICO: </w:t>
            </w:r>
            <w:r>
              <w:rPr>
                <w:rFonts w:ascii="Carlito" w:hAnsi="Carlito" w:eastAsia="Carlito"/>
                <w:color w:val="000000"/>
                <w:sz w:val="19"/>
              </w:rPr>
              <w:t>La sugerencia es una ayuda a la decisión, no una orden definitiva. Promociones, estacionalidad, pedidos ya enviados y cambios de proveedor pueden modificar la necesidad real.</w:t>
            </w:r>
          </w:p>
        </w:tc>
      </w:tr>
    </w:tbl>
    <w:p>
      <w:pPr>
        <w:spacing w:after="20"/>
      </w:pPr>
    </w:p>
    <w:p>
      <w:pPr>
        <w:pStyle w:val="Heading2"/>
        <w:keepNext/>
      </w:pPr>
      <w:r>
        <w:t>7.3 Actualización de existencias</w:t>
      </w:r>
    </w:p>
    <w:p>
      <w:pPr>
        <w:pStyle w:val="BodyText"/>
        <w:keepLines w:val="0"/>
        <w:spacing w:after="100" w:line="259" w:lineRule="auto"/>
        <w:ind w:left="0"/>
      </w:pPr>
      <w:r>
        <w:rPr>
          <w:rFonts w:ascii="Carlito" w:hAnsi="Carlito" w:eastAsia="Carlito"/>
          <w:i w:val="0"/>
          <w:sz w:val="21"/>
        </w:rPr>
        <w:t>La consulta de historial permite revisar todos los cambios o filtrar por artículo. Las columnas deben ser ordenables y la búsqueda sin código debe mostrar el conjunto completo de movimientos.</w:t>
      </w:r>
    </w:p>
    <w:p>
      <w:pPr>
        <w:pStyle w:val="Heading2"/>
        <w:keepNext/>
      </w:pPr>
      <w:r>
        <w:t>7.4 Importación de pedidos</w:t>
      </w:r>
    </w:p>
    <w:p>
      <w:pPr>
        <w:pStyle w:val="BodyText"/>
        <w:keepLines w:val="0"/>
        <w:spacing w:after="100" w:line="259" w:lineRule="auto"/>
        <w:ind w:left="0"/>
      </w:pPr>
      <w:r>
        <w:rPr>
          <w:rFonts w:ascii="Carlito" w:hAnsi="Carlito" w:eastAsia="Carlito"/>
          <w:i w:val="0"/>
          <w:sz w:val="21"/>
        </w:rPr>
        <w:t>Los procesos de importación deben mapear los campos por nombre cuando sea posible. El acceso posicional mediante Fields[n] puede provocar errores si cambia el orden de los campos. Antes de modificar este código debe localizarse el dataset exacto y verificar cada índice.</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DESARROLLO: </w:t>
            </w:r>
            <w:r>
              <w:rPr>
                <w:rFonts w:ascii="Carlito" w:hAnsi="Carlito" w:eastAsia="Carlito"/>
                <w:color w:val="000000"/>
                <w:sz w:val="19"/>
              </w:rPr>
              <w:t>No asumir que un índice representa siempre la misma columna. Documentar los accesos posicionales y sustituirlos progresivamente por FieldByName cuando sea seguro.</w:t>
            </w:r>
          </w:p>
        </w:tc>
      </w:tr>
    </w:tbl>
    <w:p>
      <w:pPr>
        <w:spacing w:after="20"/>
      </w:pPr>
    </w:p>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Generación de PDF y columna de descuento validadas en la revisión correspondiente. Las plantillas .lrf requieren control de compatibilidad.</w:t>
            </w:r>
          </w:p>
        </w:tc>
      </w:tr>
    </w:tbl>
    <w:p>
      <w:pPr>
        <w:spacing w:after="20"/>
      </w:pPr>
    </w:p>
    <w:p>
      <w:pPr>
        <w:pStyle w:val="Heading2"/>
        <w:keepNext/>
      </w:pPr>
      <w:r>
        <w:t>8.1 Facturación de albaranes</w:t>
      </w:r>
    </w:p>
    <w:p>
      <w:pPr>
        <w:pStyle w:val="BodyText"/>
        <w:keepLines w:val="0"/>
        <w:spacing w:after="100" w:line="259" w:lineRule="auto"/>
        <w:ind w:left="0"/>
      </w:pPr>
      <w:r>
        <w:rPr>
          <w:rFonts w:ascii="Carlito" w:hAnsi="Carlito" w:eastAsia="Carlito"/>
          <w:i w:val="0"/>
          <w:sz w:val="21"/>
        </w:rPr>
        <w:t>La facturación convierte albaranes en facturas según cliente, serie y criterios seleccionados. Antes de confirmar, revisar el período, documentos incluidos, cliente y totales.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albaranes pertenecen al cliente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 existen documentos ya facturados o anulados incluidos por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serie de factura es correcta.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líneas, descuentos e IVA coinciden con el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numeración siguiente es válida.</w:t>
            </w:r>
          </w:p>
        </w:tc>
      </w:tr>
    </w:tbl>
    <w:p>
      <w:pPr>
        <w:spacing w:after="40"/>
      </w:pPr>
    </w:p>
    <w:p>
      <w:pPr>
        <w:pStyle w:val="Heading2"/>
        <w:keepNext/>
      </w:pPr>
      <w:r>
        <w:t>8.2 Información de descuentos</w:t>
      </w:r>
    </w:p>
    <w:p>
      <w:pPr>
        <w:pStyle w:val="BodyText"/>
        <w:keepLines w:val="0"/>
        <w:spacing w:after="100" w:line="259" w:lineRule="auto"/>
        <w:ind w:left="0"/>
      </w:pPr>
      <w:r>
        <w:rPr>
          <w:rFonts w:ascii="Carlito" w:hAnsi="Carlito" w:eastAsia="Carlito"/>
          <w:i w:val="0"/>
          <w:sz w:val="21"/>
        </w:rPr>
        <w:t>Las facturas PDF deben mostrar una columna Dto entre PVP y Total línea cuando existen descuentos. El porcentaje debe presentarse con dos decimales, evitando que el total parezca incoherente respecto a cantidad y precio.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EJEMPLO: </w:t>
            </w:r>
            <w:r>
              <w:rPr>
                <w:rFonts w:ascii="Carlito" w:hAnsi="Carlito" w:eastAsia="Carlito"/>
                <w:color w:val="000000"/>
                <w:sz w:val="19"/>
              </w:rPr>
              <w:t>Cantidad 2, PVP 3,55, descuento 25,00 % y total de línea 5,33. Sin la columna Dto, el lector no puede explicar la diferencia.</w:t>
            </w:r>
          </w:p>
        </w:tc>
      </w:tr>
    </w:tbl>
    <w:p>
      <w:pPr>
        <w:spacing w:after="20"/>
      </w:pPr>
    </w:p>
    <w:p>
      <w:pPr>
        <w:pStyle w:val="Heading2"/>
        <w:keepNext/>
      </w:pPr>
      <w:r>
        <w:t>8.3 Plantillas .lrf</w:t>
      </w:r>
    </w:p>
    <w:p>
      <w:pPr>
        <w:pStyle w:val="BodyText"/>
        <w:keepLines w:val="0"/>
        <w:spacing w:after="100" w:line="259" w:lineRule="auto"/>
        <w:ind w:left="0"/>
      </w:pPr>
      <w:r>
        <w:rPr>
          <w:rFonts w:ascii="Carlito" w:hAnsi="Carlito" w:eastAsia="Carlito"/>
          <w:i w:val="0"/>
          <w:sz w:val="21"/>
        </w:rPr>
        <w:t>Las plantillas de LazReport contienen objetos y expresiones enlazadas a datasets. Si una plantilla solicita un campo inexistente, la generación se detiene con un error de cálculo.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835"/>
            <w:shd w:fill="1F4E78"/>
            <w:vAlign w:val="center"/>
          </w:tcPr>
          <w:p>
            <w:r>
              <w:rPr>
                <w:rFonts w:ascii="Carlito" w:hAnsi="Carlito" w:eastAsia="Carlito"/>
                <w:b/>
                <w:color w:val="FFFFFF"/>
                <w:sz w:val="18"/>
              </w:rPr>
              <w:t>Error</w:t>
            </w:r>
          </w:p>
        </w:tc>
        <w:tc>
          <w:tcPr>
            <w:tcW w:type="dxa" w:w="3402"/>
            <w:shd w:fill="1F4E78"/>
            <w:vAlign w:val="center"/>
          </w:tcPr>
          <w:p>
            <w:r>
              <w:rPr>
                <w:rFonts w:ascii="Carlito" w:hAnsi="Carlito" w:eastAsia="Carlito"/>
                <w:b/>
                <w:color w:val="FFFFFF"/>
                <w:sz w:val="18"/>
              </w:rPr>
              <w:t>Causa probable</w:t>
            </w:r>
          </w:p>
        </w:tc>
        <w:tc>
          <w:tcPr>
            <w:tcW w:type="dxa" w:w="3118"/>
            <w:shd w:fill="1F4E78"/>
            <w:vAlign w:val="center"/>
          </w:tcPr>
          <w:p>
            <w:r>
              <w:rPr>
                <w:rFonts w:ascii="Carlito" w:hAnsi="Carlito" w:eastAsia="Carlito"/>
                <w:b/>
                <w:color w:val="FFFFFF"/>
                <w:sz w:val="18"/>
              </w:rPr>
              <w:t>Acción</w:t>
            </w:r>
          </w:p>
        </w:tc>
      </w:tr>
      <w:tr>
        <w:trPr>
          <w:cantSplit/>
        </w:trPr>
        <w:tc>
          <w:tcPr>
            <w:tcW w:type="dxa" w:w="2835"/>
            <w:vAlign w:val="center"/>
          </w:tcPr>
          <w:p>
            <w:r>
              <w:rPr>
                <w:rFonts w:ascii="Carlito" w:hAnsi="Carlito" w:eastAsia="Carlito"/>
                <w:sz w:val="18"/>
              </w:rPr>
              <w:t>Undefined symbol dbImprimir."IMP5"</w:t>
            </w:r>
          </w:p>
        </w:tc>
        <w:tc>
          <w:tcPr>
            <w:tcW w:type="dxa" w:w="3402"/>
            <w:vAlign w:val="center"/>
          </w:tcPr>
          <w:p>
            <w:r>
              <w:rPr>
                <w:rFonts w:ascii="Carlito" w:hAnsi="Carlito" w:eastAsia="Carlito"/>
                <w:sz w:val="18"/>
              </w:rPr>
              <w:t>La plantilla contiene un Memo que referencia un campo no disponible.</w:t>
            </w:r>
          </w:p>
        </w:tc>
        <w:tc>
          <w:tcPr>
            <w:tcW w:type="dxa" w:w="3118"/>
            <w:vAlign w:val="center"/>
          </w:tcPr>
          <w:p>
            <w:r>
              <w:rPr>
                <w:rFonts w:ascii="Carlito" w:hAnsi="Carlito" w:eastAsia="Carlito"/>
                <w:sz w:val="18"/>
              </w:rPr>
              <w:t>Abrir la plantilla correcta, localizar el objeto y ajustar la expresión o proporcionar el campo.</w:t>
            </w:r>
          </w:p>
        </w:tc>
      </w:tr>
      <w:tr>
        <w:trPr>
          <w:cantSplit/>
        </w:trPr>
        <w:tc>
          <w:tcPr>
            <w:tcW w:type="dxa" w:w="2835"/>
            <w:shd w:fill="F2F2F2"/>
            <w:vAlign w:val="center"/>
          </w:tcPr>
          <w:p>
            <w:r>
              <w:rPr>
                <w:rFonts w:ascii="Carlito" w:hAnsi="Carlito" w:eastAsia="Carlito"/>
                <w:sz w:val="18"/>
              </w:rPr>
              <w:t>Error SQL cerca de AND</w:t>
            </w:r>
          </w:p>
        </w:tc>
        <w:tc>
          <w:tcPr>
            <w:tcW w:type="dxa" w:w="3402"/>
            <w:shd w:fill="F2F2F2"/>
            <w:vAlign w:val="center"/>
          </w:tcPr>
          <w:p>
            <w:r>
              <w:rPr>
                <w:rFonts w:ascii="Carlito" w:hAnsi="Carlito" w:eastAsia="Carlito"/>
                <w:sz w:val="18"/>
              </w:rPr>
              <w:t>Condición construida sin una cláusula previa o parámetro vacío.</w:t>
            </w:r>
          </w:p>
        </w:tc>
        <w:tc>
          <w:tcPr>
            <w:tcW w:type="dxa" w:w="3118"/>
            <w:shd w:fill="F2F2F2"/>
            <w:vAlign w:val="center"/>
          </w:tcPr>
          <w:p>
            <w:r>
              <w:rPr>
                <w:rFonts w:ascii="Carlito" w:hAnsi="Carlito" w:eastAsia="Carlito"/>
                <w:sz w:val="18"/>
              </w:rPr>
              <w:t>Revisar la SQL final y el valor de los filtros.</w:t>
            </w:r>
          </w:p>
        </w:tc>
      </w:tr>
      <w:tr>
        <w:trPr>
          <w:cantSplit/>
        </w:trPr>
        <w:tc>
          <w:tcPr>
            <w:tcW w:type="dxa" w:w="2835"/>
            <w:vAlign w:val="center"/>
          </w:tcPr>
          <w:p>
            <w:r>
              <w:rPr>
                <w:rFonts w:ascii="Carlito" w:hAnsi="Carlito" w:eastAsia="Carlito"/>
                <w:sz w:val="18"/>
              </w:rPr>
              <w:t>Se carga Documentos.lrf sin referencia visible</w:t>
            </w:r>
          </w:p>
        </w:tc>
        <w:tc>
          <w:tcPr>
            <w:tcW w:type="dxa" w:w="3402"/>
            <w:vAlign w:val="center"/>
          </w:tcPr>
          <w:p>
            <w:r>
              <w:rPr>
                <w:rFonts w:ascii="Carlito" w:hAnsi="Carlito" w:eastAsia="Carlito"/>
                <w:sz w:val="18"/>
              </w:rPr>
              <w:t>La ruta o el nombre puede construirse dinámicamente.</w:t>
            </w:r>
          </w:p>
        </w:tc>
        <w:tc>
          <w:tcPr>
            <w:tcW w:type="dxa" w:w="3118"/>
            <w:vAlign w:val="center"/>
          </w:tcPr>
          <w:p>
            <w:r>
              <w:rPr>
                <w:rFonts w:ascii="Carlito" w:hAnsi="Carlito" w:eastAsia="Carlito"/>
                <w:sz w:val="18"/>
              </w:rPr>
              <w:t>Buscar LoadFromFile, variables de ruta, recursos y configuración en tiempo de ejecución.</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modificar una plantilla de producción sin conservar una copia. Dos ficheros con nombres similares pueden no utilizarse en el mismo circuito.</w:t>
            </w:r>
          </w:p>
        </w:tc>
      </w:tr>
    </w:tbl>
    <w:p>
      <w:pPr>
        <w:spacing w:after="20"/>
      </w:pPr>
    </w:p>
    <w:p>
      <w:pPr>
        <w:pStyle w:val="Heading2"/>
        <w:keepNext/>
      </w:pPr>
      <w:r>
        <w:t>8.4 Generación de PDF</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documento o conjunto de documentos.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Generar el PDF.</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Abrir la previsualización.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cabecera, datos fiscales, líneas, descuentos, bases, IVA y totales.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que no existen textos cortados, columnas fuera de página o caracteres incorrectos.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Guardar o enviar únicamente después de la revisión.</w:t>
      </w:r>
    </w:p>
    <w:p>
      <w:pPr>
        <w:pStyle w:val="Heading2"/>
        <w:keepNext/>
      </w:pPr>
      <w:r>
        <w:t>8.5 Envío por correo</w:t>
      </w:r>
    </w:p>
    <w:p>
      <w:pPr>
        <w:pStyle w:val="BodyText"/>
        <w:keepLines w:val="0"/>
        <w:spacing w:after="100" w:line="259" w:lineRule="auto"/>
        <w:ind w:left="0"/>
      </w:pPr>
      <w:r>
        <w:rPr>
          <w:rFonts w:ascii="Carlito" w:hAnsi="Carlito" w:eastAsia="Carlito"/>
          <w:i w:val="0"/>
          <w:sz w:val="21"/>
        </w:rPr>
        <w:t>El envío por correo genera o adjunta el documento y muestra un mensaje de información. Los paneles de aviso deben aparecer por encima de los demás componentes y el texto no debe superponerse ni mostrarse emborronado.</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Destinatario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Asunto y cuerpo adecuados.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PDF generado y adjunto.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de progreso visible.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final verde legible y mostrado una sola vez.</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Error de envío, si existe, claramente informado.</w:t>
            </w:r>
          </w:p>
        </w:tc>
      </w:tr>
    </w:tbl>
    <w:p>
      <w:pPr>
        <w:spacing w:after="40"/>
      </w:pPr>
    </w:p>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Monitor y estructura principal conocidos. Los circuitos rectificativos deben seguir probándose con casos reales y de excepción.</w:t>
            </w:r>
          </w:p>
        </w:tc>
      </w:tr>
    </w:tbl>
    <w:p>
      <w:pPr>
        <w:spacing w:after="20"/>
      </w:pPr>
    </w:p>
    <w:p>
      <w:pPr>
        <w:pStyle w:val="Heading2"/>
        <w:keepNext/>
      </w:pPr>
      <w:r>
        <w:t>9.1 Tipos de documento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3969"/>
            <w:shd w:fill="1F4E78"/>
            <w:vAlign w:val="center"/>
          </w:tcPr>
          <w:p>
            <w:r>
              <w:rPr>
                <w:rFonts w:ascii="Carlito" w:hAnsi="Carlito" w:eastAsia="Carlito"/>
                <w:b/>
                <w:color w:val="FFFFFF"/>
                <w:sz w:val="18"/>
              </w:rPr>
              <w:t>Descripción</w:t>
            </w:r>
          </w:p>
        </w:tc>
        <w:tc>
          <w:tcPr>
            <w:tcW w:type="dxa" w:w="3118"/>
            <w:shd w:fill="1F4E78"/>
            <w:vAlign w:val="center"/>
          </w:tcPr>
          <w:p>
            <w:r>
              <w:rPr>
                <w:rFonts w:ascii="Carlito" w:hAnsi="Carlito" w:eastAsia="Carlito"/>
                <w:b/>
                <w:color w:val="FFFFFF"/>
                <w:sz w:val="18"/>
              </w:rPr>
              <w:t>Serie habitual</w:t>
            </w:r>
          </w:p>
        </w:tc>
      </w:tr>
      <w:tr>
        <w:trPr>
          <w:cantSplit/>
        </w:trPr>
        <w:tc>
          <w:tcPr>
            <w:tcW w:type="dxa" w:w="2268"/>
            <w:vAlign w:val="center"/>
          </w:tcPr>
          <w:p>
            <w:r>
              <w:rPr>
                <w:rFonts w:ascii="Carlito" w:hAnsi="Carlito" w:eastAsia="Carlito"/>
                <w:sz w:val="18"/>
              </w:rPr>
              <w:t>F1</w:t>
            </w:r>
          </w:p>
        </w:tc>
        <w:tc>
          <w:tcPr>
            <w:tcW w:type="dxa" w:w="3969"/>
            <w:vAlign w:val="center"/>
          </w:tcPr>
          <w:p>
            <w:r>
              <w:rPr>
                <w:rFonts w:ascii="Carlito" w:hAnsi="Carlito" w:eastAsia="Carlito"/>
                <w:sz w:val="18"/>
              </w:rPr>
              <w:t>Factura completa</w:t>
            </w:r>
          </w:p>
        </w:tc>
        <w:tc>
          <w:tcPr>
            <w:tcW w:type="dxa" w:w="3118"/>
            <w:vAlign w:val="center"/>
          </w:tcPr>
          <w:p>
            <w:r>
              <w:rPr>
                <w:rFonts w:ascii="Carlito" w:hAnsi="Carlito" w:eastAsia="Carlito"/>
                <w:sz w:val="18"/>
              </w:rPr>
              <w:t>Serie normal.</w:t>
            </w:r>
          </w:p>
        </w:tc>
      </w:tr>
      <w:tr>
        <w:trPr>
          <w:cantSplit/>
        </w:trPr>
        <w:tc>
          <w:tcPr>
            <w:tcW w:type="dxa" w:w="2268"/>
            <w:shd w:fill="F2F2F2"/>
            <w:vAlign w:val="center"/>
          </w:tcPr>
          <w:p>
            <w:r>
              <w:rPr>
                <w:rFonts w:ascii="Carlito" w:hAnsi="Carlito" w:eastAsia="Carlito"/>
                <w:sz w:val="18"/>
              </w:rPr>
              <w:t>F2</w:t>
            </w:r>
          </w:p>
        </w:tc>
        <w:tc>
          <w:tcPr>
            <w:tcW w:type="dxa" w:w="3969"/>
            <w:shd w:fill="F2F2F2"/>
            <w:vAlign w:val="center"/>
          </w:tcPr>
          <w:p>
            <w:r>
              <w:rPr>
                <w:rFonts w:ascii="Carlito" w:hAnsi="Carlito" w:eastAsia="Carlito"/>
                <w:sz w:val="18"/>
              </w:rPr>
              <w:t>Factura simplificada</w:t>
            </w:r>
          </w:p>
        </w:tc>
        <w:tc>
          <w:tcPr>
            <w:tcW w:type="dxa" w:w="3118"/>
            <w:shd w:fill="F2F2F2"/>
            <w:vAlign w:val="center"/>
          </w:tcPr>
          <w:p>
            <w:r>
              <w:rPr>
                <w:rFonts w:ascii="Carlito" w:hAnsi="Carlito" w:eastAsia="Carlito"/>
                <w:sz w:val="18"/>
              </w:rPr>
              <w:t>Serie con prefijo FS-.</w:t>
            </w:r>
          </w:p>
        </w:tc>
      </w:tr>
      <w:tr>
        <w:trPr>
          <w:cantSplit/>
        </w:trPr>
        <w:tc>
          <w:tcPr>
            <w:tcW w:type="dxa" w:w="2268"/>
            <w:vAlign w:val="center"/>
          </w:tcPr>
          <w:p>
            <w:r>
              <w:rPr>
                <w:rFonts w:ascii="Carlito" w:hAnsi="Carlito" w:eastAsia="Carlito"/>
                <w:sz w:val="18"/>
              </w:rPr>
              <w:t>Rectificativa normal</w:t>
            </w:r>
          </w:p>
        </w:tc>
        <w:tc>
          <w:tcPr>
            <w:tcW w:type="dxa" w:w="3969"/>
            <w:vAlign w:val="center"/>
          </w:tcPr>
          <w:p>
            <w:r>
              <w:rPr>
                <w:rFonts w:ascii="Carlito" w:hAnsi="Carlito" w:eastAsia="Carlito"/>
                <w:sz w:val="18"/>
              </w:rPr>
              <w:t>Corrige una factura completa</w:t>
            </w:r>
          </w:p>
        </w:tc>
        <w:tc>
          <w:tcPr>
            <w:tcW w:type="dxa" w:w="3118"/>
            <w:vAlign w:val="center"/>
          </w:tcPr>
          <w:p>
            <w:r>
              <w:rPr>
                <w:rFonts w:ascii="Carlito" w:hAnsi="Carlito" w:eastAsia="Carlito"/>
                <w:sz w:val="18"/>
              </w:rPr>
              <w:t>R26 u otra serie configurada.</w:t>
            </w:r>
          </w:p>
        </w:tc>
      </w:tr>
      <w:tr>
        <w:trPr>
          <w:cantSplit/>
        </w:trPr>
        <w:tc>
          <w:tcPr>
            <w:tcW w:type="dxa" w:w="2268"/>
            <w:shd w:fill="F2F2F2"/>
            <w:vAlign w:val="center"/>
          </w:tcPr>
          <w:p>
            <w:r>
              <w:rPr>
                <w:rFonts w:ascii="Carlito" w:hAnsi="Carlito" w:eastAsia="Carlito"/>
                <w:sz w:val="18"/>
              </w:rPr>
              <w:t>Rectificativa simplificada</w:t>
            </w:r>
          </w:p>
        </w:tc>
        <w:tc>
          <w:tcPr>
            <w:tcW w:type="dxa" w:w="3969"/>
            <w:shd w:fill="F2F2F2"/>
            <w:vAlign w:val="center"/>
          </w:tcPr>
          <w:p>
            <w:r>
              <w:rPr>
                <w:rFonts w:ascii="Carlito" w:hAnsi="Carlito" w:eastAsia="Carlito"/>
                <w:sz w:val="18"/>
              </w:rPr>
              <w:t>Corrige una simplificada</w:t>
            </w:r>
          </w:p>
        </w:tc>
        <w:tc>
          <w:tcPr>
            <w:tcW w:type="dxa" w:w="3118"/>
            <w:shd w:fill="F2F2F2"/>
            <w:vAlign w:val="center"/>
          </w:tcPr>
          <w:p>
            <w:r>
              <w:rPr>
                <w:rFonts w:ascii="Carlito" w:hAnsi="Carlito" w:eastAsia="Carlito"/>
                <w:sz w:val="18"/>
              </w:rPr>
              <w:t>FS-R26 u otra serie configurada.</w:t>
            </w:r>
          </w:p>
        </w:tc>
      </w:tr>
    </w:tbl>
    <w:p>
      <w:pPr>
        <w:spacing w:after="40"/>
      </w:pPr>
    </w:p>
    <w:p>
      <w:pPr>
        <w:pStyle w:val="Heading2"/>
        <w:keepNext/>
      </w:pPr>
      <w:r>
        <w:t>9.2 Cola VeriFactu</w:t>
      </w:r>
    </w:p>
    <w:p>
      <w:pPr>
        <w:pStyle w:val="BodyText"/>
        <w:keepLines w:val="0"/>
        <w:spacing w:after="100" w:line="259" w:lineRule="auto"/>
        <w:ind w:left="0"/>
      </w:pPr>
      <w:r>
        <w:rPr>
          <w:rFonts w:ascii="Carlito" w:hAnsi="Carlito" w:eastAsia="Carlito"/>
          <w:i w:val="0"/>
          <w:sz w:val="21"/>
        </w:rPr>
        <w:t>La cola conserva los datos necesarios para el envío y seguimiento: serie, número, fecha, hora, total con IVA, estado, JSON, hash, hash anterior, fecha ISO y tipo de factura.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Campo</w:t>
            </w:r>
          </w:p>
        </w:tc>
        <w:tc>
          <w:tcPr>
            <w:tcW w:type="dxa" w:w="7087"/>
            <w:shd w:fill="1F4E78"/>
            <w:vAlign w:val="center"/>
          </w:tcPr>
          <w:p>
            <w:r>
              <w:rPr>
                <w:rFonts w:ascii="Carlito" w:hAnsi="Carlito" w:eastAsia="Carlito"/>
                <w:b/>
                <w:color w:val="FFFFFF"/>
                <w:sz w:val="18"/>
              </w:rPr>
              <w:t>Función</w:t>
            </w:r>
          </w:p>
        </w:tc>
      </w:tr>
      <w:tr>
        <w:trPr>
          <w:cantSplit/>
        </w:trPr>
        <w:tc>
          <w:tcPr>
            <w:tcW w:type="dxa" w:w="2268"/>
            <w:vAlign w:val="center"/>
          </w:tcPr>
          <w:p>
            <w:r>
              <w:rPr>
                <w:rFonts w:ascii="Carlito" w:hAnsi="Carlito" w:eastAsia="Carlito"/>
                <w:sz w:val="18"/>
              </w:rPr>
              <w:t>estado</w:t>
            </w:r>
          </w:p>
        </w:tc>
        <w:tc>
          <w:tcPr>
            <w:tcW w:type="dxa" w:w="7087"/>
            <w:vAlign w:val="center"/>
          </w:tcPr>
          <w:p>
            <w:r>
              <w:rPr>
                <w:rFonts w:ascii="Carlito" w:hAnsi="Carlito" w:eastAsia="Carlito"/>
                <w:sz w:val="18"/>
              </w:rPr>
              <w:t>Situación del registro: pendiente, enviado, aceptado, error, etc.</w:t>
            </w:r>
          </w:p>
        </w:tc>
      </w:tr>
      <w:tr>
        <w:trPr>
          <w:cantSplit/>
        </w:trPr>
        <w:tc>
          <w:tcPr>
            <w:tcW w:type="dxa" w:w="2268"/>
            <w:shd w:fill="F2F2F2"/>
            <w:vAlign w:val="center"/>
          </w:tcPr>
          <w:p>
            <w:r>
              <w:rPr>
                <w:rFonts w:ascii="Carlito" w:hAnsi="Carlito" w:eastAsia="Carlito"/>
                <w:sz w:val="18"/>
              </w:rPr>
              <w:t>payload_json</w:t>
            </w:r>
          </w:p>
        </w:tc>
        <w:tc>
          <w:tcPr>
            <w:tcW w:type="dxa" w:w="7087"/>
            <w:shd w:fill="F2F2F2"/>
            <w:vAlign w:val="center"/>
          </w:tcPr>
          <w:p>
            <w:r>
              <w:rPr>
                <w:rFonts w:ascii="Carlito" w:hAnsi="Carlito" w:eastAsia="Carlito"/>
                <w:sz w:val="18"/>
              </w:rPr>
              <w:t>Contenido preparado para el envío.</w:t>
            </w:r>
          </w:p>
        </w:tc>
      </w:tr>
      <w:tr>
        <w:trPr>
          <w:cantSplit/>
        </w:trPr>
        <w:tc>
          <w:tcPr>
            <w:tcW w:type="dxa" w:w="2268"/>
            <w:vAlign w:val="center"/>
          </w:tcPr>
          <w:p>
            <w:r>
              <w:rPr>
                <w:rFonts w:ascii="Carlito" w:hAnsi="Carlito" w:eastAsia="Carlito"/>
                <w:sz w:val="18"/>
              </w:rPr>
              <w:t>hash</w:t>
            </w:r>
          </w:p>
        </w:tc>
        <w:tc>
          <w:tcPr>
            <w:tcW w:type="dxa" w:w="7087"/>
            <w:vAlign w:val="center"/>
          </w:tcPr>
          <w:p>
            <w:r>
              <w:rPr>
                <w:rFonts w:ascii="Carlito" w:hAnsi="Carlito" w:eastAsia="Carlito"/>
                <w:sz w:val="18"/>
              </w:rPr>
              <w:t>Huella SHA-256 del registro canónico y fecha.</w:t>
            </w:r>
          </w:p>
        </w:tc>
      </w:tr>
      <w:tr>
        <w:trPr>
          <w:cantSplit/>
        </w:trPr>
        <w:tc>
          <w:tcPr>
            <w:tcW w:type="dxa" w:w="2268"/>
            <w:shd w:fill="F2F2F2"/>
            <w:vAlign w:val="center"/>
          </w:tcPr>
          <w:p>
            <w:r>
              <w:rPr>
                <w:rFonts w:ascii="Carlito" w:hAnsi="Carlito" w:eastAsia="Carlito"/>
                <w:sz w:val="18"/>
              </w:rPr>
              <w:t>hash_prev</w:t>
            </w:r>
          </w:p>
        </w:tc>
        <w:tc>
          <w:tcPr>
            <w:tcW w:type="dxa" w:w="7087"/>
            <w:shd w:fill="F2F2F2"/>
            <w:vAlign w:val="center"/>
          </w:tcPr>
          <w:p>
            <w:r>
              <w:rPr>
                <w:rFonts w:ascii="Carlito" w:hAnsi="Carlito" w:eastAsia="Carlito"/>
                <w:sz w:val="18"/>
              </w:rPr>
              <w:t>Hash del registro anterior de la serie.</w:t>
            </w:r>
          </w:p>
        </w:tc>
      </w:tr>
      <w:tr>
        <w:trPr>
          <w:cantSplit/>
        </w:trPr>
        <w:tc>
          <w:tcPr>
            <w:tcW w:type="dxa" w:w="2268"/>
            <w:vAlign w:val="center"/>
          </w:tcPr>
          <w:p>
            <w:r>
              <w:rPr>
                <w:rFonts w:ascii="Carlito" w:hAnsi="Carlito" w:eastAsia="Carlito"/>
                <w:sz w:val="18"/>
              </w:rPr>
              <w:t>fecha_isoz</w:t>
            </w:r>
          </w:p>
        </w:tc>
        <w:tc>
          <w:tcPr>
            <w:tcW w:type="dxa" w:w="7087"/>
            <w:vAlign w:val="center"/>
          </w:tcPr>
          <w:p>
            <w:r>
              <w:rPr>
                <w:rFonts w:ascii="Carlito" w:hAnsi="Carlito" w:eastAsia="Carlito"/>
                <w:sz w:val="18"/>
              </w:rPr>
              <w:t>Marca temporal normalizada.</w:t>
            </w:r>
          </w:p>
        </w:tc>
      </w:tr>
      <w:tr>
        <w:trPr>
          <w:cantSplit/>
        </w:trPr>
        <w:tc>
          <w:tcPr>
            <w:tcW w:type="dxa" w:w="2268"/>
            <w:shd w:fill="F2F2F2"/>
            <w:vAlign w:val="center"/>
          </w:tcPr>
          <w:p>
            <w:r>
              <w:rPr>
                <w:rFonts w:ascii="Carlito" w:hAnsi="Carlito" w:eastAsia="Carlito"/>
                <w:sz w:val="18"/>
              </w:rPr>
              <w:t>tipo_factura</w:t>
            </w:r>
          </w:p>
        </w:tc>
        <w:tc>
          <w:tcPr>
            <w:tcW w:type="dxa" w:w="7087"/>
            <w:shd w:fill="F2F2F2"/>
            <w:vAlign w:val="center"/>
          </w:tcPr>
          <w:p>
            <w:r>
              <w:rPr>
                <w:rFonts w:ascii="Carlito" w:hAnsi="Carlito" w:eastAsia="Carlito"/>
                <w:sz w:val="18"/>
              </w:rPr>
              <w:t>F1 o F2.</w:t>
            </w:r>
          </w:p>
        </w:tc>
      </w:tr>
    </w:tbl>
    <w:p>
      <w:pPr>
        <w:spacing w:after="40"/>
      </w:pPr>
    </w:p>
    <w:p>
      <w:pPr>
        <w:pStyle w:val="Heading2"/>
        <w:keepNext/>
      </w:pPr>
      <w:r>
        <w:t>9.3 Monitor</w:t>
      </w:r>
    </w:p>
    <w:p>
      <w:pPr>
        <w:pStyle w:val="BodyText"/>
        <w:keepLines w:val="0"/>
        <w:spacing w:after="100" w:line="259" w:lineRule="auto"/>
        <w:ind w:left="0"/>
      </w:pPr>
      <w:r>
        <w:rPr>
          <w:rFonts w:ascii="Carlito" w:hAnsi="Carlito" w:eastAsia="Carlito"/>
          <w:i w:val="0"/>
          <w:sz w:val="21"/>
        </w:rPr>
        <w:t>El monitor muestra fecha, hora, serie, número, tipo, estado, resultado, intentos, hash, hash anterior y token. Debe utilizarse para distinguir un documento generado correctamente de uno realmente aceptado por Hacienda.</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INTERPRETACIÓN: </w:t>
            </w:r>
            <w:r>
              <w:rPr>
                <w:rFonts w:ascii="Carlito" w:hAnsi="Carlito" w:eastAsia="Carlito"/>
                <w:color w:val="000000"/>
                <w:sz w:val="19"/>
              </w:rPr>
              <w:t>Que un documento exista o se haya enviado no significa necesariamente que figure como Aceptado. Revisar el estado y la respuesta devuelta.</w:t>
            </w:r>
          </w:p>
        </w:tc>
      </w:tr>
    </w:tbl>
    <w:p>
      <w:pPr>
        <w:spacing w:after="20"/>
      </w:pPr>
    </w:p>
    <w:p>
      <w:pPr>
        <w:pStyle w:val="Heading2"/>
        <w:keepNext/>
      </w:pPr>
      <w:r>
        <w:t>9.4 Errores conocidos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835"/>
            <w:shd w:fill="1F4E78"/>
            <w:vAlign w:val="center"/>
          </w:tcPr>
          <w:p>
            <w:r>
              <w:rPr>
                <w:rFonts w:ascii="Carlito" w:hAnsi="Carlito" w:eastAsia="Carlito"/>
                <w:b/>
                <w:color w:val="FFFFFF"/>
                <w:sz w:val="18"/>
              </w:rPr>
              <w:t>Código / síntoma</w:t>
            </w:r>
          </w:p>
        </w:tc>
        <w:tc>
          <w:tcPr>
            <w:tcW w:type="dxa" w:w="6520"/>
            <w:shd w:fill="1F4E78"/>
            <w:vAlign w:val="center"/>
          </w:tcPr>
          <w:p>
            <w:r>
              <w:rPr>
                <w:rFonts w:ascii="Carlito" w:hAnsi="Carlito" w:eastAsia="Carlito"/>
                <w:b/>
                <w:color w:val="FFFFFF"/>
                <w:sz w:val="18"/>
              </w:rPr>
              <w:t>Interpretación orientativa</w:t>
            </w:r>
          </w:p>
        </w:tc>
      </w:tr>
      <w:tr>
        <w:trPr>
          <w:cantSplit/>
        </w:trPr>
        <w:tc>
          <w:tcPr>
            <w:tcW w:type="dxa" w:w="2835"/>
            <w:vAlign w:val="center"/>
          </w:tcPr>
          <w:p>
            <w:r>
              <w:rPr>
                <w:rFonts w:ascii="Carlito" w:hAnsi="Carlito" w:eastAsia="Carlito"/>
                <w:sz w:val="18"/>
              </w:rPr>
              <w:t>4102</w:t>
            </w:r>
          </w:p>
        </w:tc>
        <w:tc>
          <w:tcPr>
            <w:tcW w:type="dxa" w:w="6520"/>
            <w:vAlign w:val="center"/>
          </w:tcPr>
          <w:p>
            <w:r>
              <w:rPr>
                <w:rFonts w:ascii="Carlito" w:hAnsi="Carlito" w:eastAsia="Carlito"/>
                <w:sz w:val="18"/>
              </w:rPr>
              <w:t>Problema relacionado con DescripcionOperacion.</w:t>
            </w:r>
          </w:p>
        </w:tc>
      </w:tr>
      <w:tr>
        <w:trPr>
          <w:cantSplit/>
        </w:trPr>
        <w:tc>
          <w:tcPr>
            <w:tcW w:type="dxa" w:w="2835"/>
            <w:shd w:fill="F2F2F2"/>
            <w:vAlign w:val="center"/>
          </w:tcPr>
          <w:p>
            <w:r>
              <w:rPr>
                <w:rFonts w:ascii="Carlito" w:hAnsi="Carlito" w:eastAsia="Carlito"/>
                <w:sz w:val="18"/>
              </w:rPr>
              <w:t>1189</w:t>
            </w:r>
          </w:p>
        </w:tc>
        <w:tc>
          <w:tcPr>
            <w:tcW w:type="dxa" w:w="6520"/>
            <w:shd w:fill="F2F2F2"/>
            <w:vAlign w:val="center"/>
          </w:tcPr>
          <w:p>
            <w:r>
              <w:rPr>
                <w:rFonts w:ascii="Carlito" w:hAnsi="Carlito" w:eastAsia="Carlito"/>
                <w:sz w:val="18"/>
              </w:rPr>
              <w:t>Datos de destinatarios incompletos o no permitidos.</w:t>
            </w:r>
          </w:p>
        </w:tc>
      </w:tr>
      <w:tr>
        <w:trPr>
          <w:cantSplit/>
        </w:trPr>
        <w:tc>
          <w:tcPr>
            <w:tcW w:type="dxa" w:w="2835"/>
            <w:vAlign w:val="center"/>
          </w:tcPr>
          <w:p>
            <w:r>
              <w:rPr>
                <w:rFonts w:ascii="Carlito" w:hAnsi="Carlito" w:eastAsia="Carlito"/>
                <w:sz w:val="18"/>
              </w:rPr>
              <w:t>1054</w:t>
            </w:r>
          </w:p>
        </w:tc>
        <w:tc>
          <w:tcPr>
            <w:tcW w:type="dxa" w:w="6520"/>
            <w:vAlign w:val="center"/>
          </w:tcPr>
          <w:p>
            <w:r>
              <w:rPr>
                <w:rFonts w:ascii="Carlito" w:hAnsi="Carlito" w:eastAsia="Carlito"/>
                <w:sz w:val="18"/>
              </w:rPr>
              <w:t>Referencia incorrecta a payload en lugar de payload_json.</w:t>
            </w:r>
          </w:p>
        </w:tc>
      </w:tr>
      <w:tr>
        <w:trPr>
          <w:cantSplit/>
        </w:trPr>
        <w:tc>
          <w:tcPr>
            <w:tcW w:type="dxa" w:w="2835"/>
            <w:shd w:fill="F2F2F2"/>
            <w:vAlign w:val="center"/>
          </w:tcPr>
          <w:p>
            <w:r>
              <w:rPr>
                <w:rFonts w:ascii="Carlito" w:hAnsi="Carlito" w:eastAsia="Carlito"/>
                <w:sz w:val="18"/>
              </w:rPr>
              <w:t>2004</w:t>
            </w:r>
          </w:p>
        </w:tc>
        <w:tc>
          <w:tcPr>
            <w:tcW w:type="dxa" w:w="6520"/>
            <w:shd w:fill="F2F2F2"/>
            <w:vAlign w:val="center"/>
          </w:tcPr>
          <w:p>
            <w:r>
              <w:rPr>
                <w:rFonts w:ascii="Carlito" w:hAnsi="Carlito" w:eastAsia="Carlito"/>
                <w:sz w:val="18"/>
              </w:rPr>
              <w:t>Problema de timestamp o formato temporal.</w:t>
            </w:r>
          </w:p>
        </w:tc>
      </w:tr>
      <w:tr>
        <w:trPr>
          <w:cantSplit/>
        </w:trPr>
        <w:tc>
          <w:tcPr>
            <w:tcW w:type="dxa" w:w="2835"/>
            <w:vAlign w:val="center"/>
          </w:tcPr>
          <w:p>
            <w:r>
              <w:rPr>
                <w:rFonts w:ascii="Carlito" w:hAnsi="Carlito" w:eastAsia="Carlito"/>
                <w:sz w:val="18"/>
              </w:rPr>
              <w:t>Aceptado con errores en F2</w:t>
            </w:r>
          </w:p>
        </w:tc>
        <w:tc>
          <w:tcPr>
            <w:tcW w:type="dxa" w:w="6520"/>
            <w:vAlign w:val="center"/>
          </w:tcPr>
          <w:p>
            <w:r>
              <w:rPr>
                <w:rFonts w:ascii="Carlito" w:hAnsi="Carlito" w:eastAsia="Carlito"/>
                <w:sz w:val="18"/>
              </w:rPr>
              <w:t>Revisar desglose de IVA e ImporteTotal.</w:t>
            </w:r>
          </w:p>
        </w:tc>
      </w:tr>
    </w:tbl>
    <w:p>
      <w:pPr>
        <w:spacing w:after="40"/>
      </w:pPr>
    </w:p>
    <w:p>
      <w:pPr>
        <w:pStyle w:val="Heading2"/>
        <w:keepNext/>
      </w:pPr>
      <w:r>
        <w:t>9.5 Rectificativas</w:t>
      </w:r>
    </w:p>
    <w:p>
      <w:pPr>
        <w:pStyle w:val="BodyText"/>
        <w:keepLines w:val="0"/>
        <w:spacing w:after="100" w:line="259" w:lineRule="auto"/>
        <w:ind w:left="0"/>
      </w:pPr>
      <w:r>
        <w:rPr>
          <w:rFonts w:ascii="Carlito" w:hAnsi="Carlito" w:eastAsia="Carlito"/>
          <w:i w:val="0"/>
          <w:sz w:val="21"/>
        </w:rPr>
        <w:t>Cuando existen líneas negativas, el sistema puede solicitar el tipo de origen, serie, número y motivo. La relación con el documento original debe conservarse en históricos y JSON.</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Tipo de origen correcto: simplificado o normal.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y número del documento original.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Cliente coincidente cuando el circuito lo exige.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Motivo de rectificación informado.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Importes y signos correctos.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creado en tablas rectificativas e histórico.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Cola VeriFactu generada sin duplicidad.</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Documento impreso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CASOS SENSIBLES: </w:t>
            </w:r>
            <w:r>
              <w:rPr>
                <w:rFonts w:ascii="Carlito" w:hAnsi="Carlito" w:eastAsia="Carlito"/>
                <w:color w:val="000000"/>
                <w:sz w:val="19"/>
              </w:rPr>
              <w:t>Ventas mixtas, rectificativas manuales sin histórico y documentos aparcados requieren comprobación especial.</w:t>
            </w:r>
          </w:p>
        </w:tc>
      </w:tr>
    </w:tbl>
    <w:p>
      <w:pPr>
        <w:spacing w:after="20"/>
      </w:pPr>
    </w:p>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Dashboard integrado en Ventas. Las gráficas están en proceso de mejora para mostrar valores completos y legibles.</w:t>
            </w:r>
          </w:p>
        </w:tc>
      </w:tr>
    </w:tbl>
    <w:p>
      <w:pPr>
        <w:spacing w:after="20"/>
      </w:pPr>
    </w:p>
    <w:p>
      <w:pPr>
        <w:pStyle w:val="Heading2"/>
        <w:keepNext/>
      </w:pPr>
      <w:r>
        <w:t>10.1 Dashboard de productividad</w:t>
      </w:r>
    </w:p>
    <w:p>
      <w:pPr>
        <w:pStyle w:val="BodyText"/>
        <w:keepLines w:val="0"/>
        <w:spacing w:after="100" w:line="259" w:lineRule="auto"/>
        <w:ind w:left="0"/>
      </w:pPr>
      <w:r>
        <w:rPr>
          <w:rFonts w:ascii="Carlito" w:hAnsi="Carlito" w:eastAsia="Carlito"/>
          <w:i w:val="0"/>
          <w:sz w:val="21"/>
        </w:rPr>
        <w:t>El Dashboard se encuentra en la pestaña Ventas, junto a Proformas. Su pantalla inicial es Dashboard y reúne indicadores y gráficas en seis zonas.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Zona</w:t>
            </w:r>
          </w:p>
        </w:tc>
        <w:tc>
          <w:tcPr>
            <w:tcW w:type="dxa" w:w="6803"/>
            <w:shd w:fill="1F4E78"/>
            <w:vAlign w:val="center"/>
          </w:tcPr>
          <w:p>
            <w:r>
              <w:rPr>
                <w:rFonts w:ascii="Carlito" w:hAnsi="Carlito" w:eastAsia="Carlito"/>
                <w:b/>
                <w:color w:val="FFFFFF"/>
                <w:sz w:val="18"/>
              </w:rPr>
              <w:t>Contenido</w:t>
            </w:r>
          </w:p>
        </w:tc>
      </w:tr>
      <w:tr>
        <w:trPr>
          <w:cantSplit/>
        </w:trPr>
        <w:tc>
          <w:tcPr>
            <w:tcW w:type="dxa" w:w="2551"/>
            <w:vAlign w:val="center"/>
          </w:tcPr>
          <w:p>
            <w:r>
              <w:rPr>
                <w:rFonts w:ascii="Carlito" w:hAnsi="Carlito" w:eastAsia="Carlito"/>
                <w:sz w:val="18"/>
              </w:rPr>
              <w:t>Formas de pago</w:t>
            </w:r>
          </w:p>
        </w:tc>
        <w:tc>
          <w:tcPr>
            <w:tcW w:type="dxa" w:w="6803"/>
            <w:vAlign w:val="center"/>
          </w:tcPr>
          <w:p>
            <w:r>
              <w:rPr>
                <w:rFonts w:ascii="Carlito" w:hAnsi="Carlito" w:eastAsia="Carlito"/>
                <w:sz w:val="18"/>
              </w:rPr>
              <w:t>Distribución de ventas por método de cobro.</w:t>
            </w:r>
          </w:p>
        </w:tc>
      </w:tr>
      <w:tr>
        <w:trPr>
          <w:cantSplit/>
        </w:trPr>
        <w:tc>
          <w:tcPr>
            <w:tcW w:type="dxa" w:w="2551"/>
            <w:shd w:fill="F2F2F2"/>
            <w:vAlign w:val="center"/>
          </w:tcPr>
          <w:p>
            <w:r>
              <w:rPr>
                <w:rFonts w:ascii="Carlito" w:hAnsi="Carlito" w:eastAsia="Carlito"/>
                <w:sz w:val="18"/>
              </w:rPr>
              <w:t>Top artículos</w:t>
            </w:r>
          </w:p>
        </w:tc>
        <w:tc>
          <w:tcPr>
            <w:tcW w:type="dxa" w:w="6803"/>
            <w:shd w:fill="F2F2F2"/>
            <w:vAlign w:val="center"/>
          </w:tcPr>
          <w:p>
            <w:r>
              <w:rPr>
                <w:rFonts w:ascii="Carlito" w:hAnsi="Carlito" w:eastAsia="Carlito"/>
                <w:sz w:val="18"/>
              </w:rPr>
              <w:t>Artículos con mayor actividad o importe.</w:t>
            </w:r>
          </w:p>
        </w:tc>
      </w:tr>
      <w:tr>
        <w:trPr>
          <w:cantSplit/>
        </w:trPr>
        <w:tc>
          <w:tcPr>
            <w:tcW w:type="dxa" w:w="2551"/>
            <w:vAlign w:val="center"/>
          </w:tcPr>
          <w:p>
            <w:r>
              <w:rPr>
                <w:rFonts w:ascii="Carlito" w:hAnsi="Carlito" w:eastAsia="Carlito"/>
                <w:sz w:val="18"/>
              </w:rPr>
              <w:t>Top familias</w:t>
            </w:r>
          </w:p>
        </w:tc>
        <w:tc>
          <w:tcPr>
            <w:tcW w:type="dxa" w:w="6803"/>
            <w:vAlign w:val="center"/>
          </w:tcPr>
          <w:p>
            <w:r>
              <w:rPr>
                <w:rFonts w:ascii="Carlito" w:hAnsi="Carlito" w:eastAsia="Carlito"/>
                <w:sz w:val="18"/>
              </w:rPr>
              <w:t>Familias con mayor peso en ventas.</w:t>
            </w:r>
          </w:p>
        </w:tc>
      </w:tr>
      <w:tr>
        <w:trPr>
          <w:cantSplit/>
        </w:trPr>
        <w:tc>
          <w:tcPr>
            <w:tcW w:type="dxa" w:w="2551"/>
            <w:shd w:fill="F2F2F2"/>
            <w:vAlign w:val="center"/>
          </w:tcPr>
          <w:p>
            <w:r>
              <w:rPr>
                <w:rFonts w:ascii="Carlito" w:hAnsi="Carlito" w:eastAsia="Carlito"/>
                <w:sz w:val="18"/>
              </w:rPr>
              <w:t>Ventas por horas</w:t>
            </w:r>
          </w:p>
        </w:tc>
        <w:tc>
          <w:tcPr>
            <w:tcW w:type="dxa" w:w="6803"/>
            <w:shd w:fill="F2F2F2"/>
            <w:vAlign w:val="center"/>
          </w:tcPr>
          <w:p>
            <w:r>
              <w:rPr>
                <w:rFonts w:ascii="Carlito" w:hAnsi="Carlito" w:eastAsia="Carlito"/>
                <w:sz w:val="18"/>
              </w:rPr>
              <w:t>Evolución de la actividad durante el día.</w:t>
            </w:r>
          </w:p>
        </w:tc>
      </w:tr>
      <w:tr>
        <w:trPr>
          <w:cantSplit/>
        </w:trPr>
        <w:tc>
          <w:tcPr>
            <w:tcW w:type="dxa" w:w="2551"/>
            <w:vAlign w:val="center"/>
          </w:tcPr>
          <w:p>
            <w:r>
              <w:rPr>
                <w:rFonts w:ascii="Carlito" w:hAnsi="Carlito" w:eastAsia="Carlito"/>
                <w:sz w:val="18"/>
              </w:rPr>
              <w:t>KPI Hoy</w:t>
            </w:r>
          </w:p>
        </w:tc>
        <w:tc>
          <w:tcPr>
            <w:tcW w:type="dxa" w:w="6803"/>
            <w:vAlign w:val="center"/>
          </w:tcPr>
          <w:p>
            <w:r>
              <w:rPr>
                <w:rFonts w:ascii="Carlito" w:hAnsi="Carlito" w:eastAsia="Carlito"/>
                <w:sz w:val="18"/>
              </w:rPr>
              <w:t>Importe vendido en la fecha actual.</w:t>
            </w:r>
          </w:p>
        </w:tc>
      </w:tr>
      <w:tr>
        <w:trPr>
          <w:cantSplit/>
        </w:trPr>
        <w:tc>
          <w:tcPr>
            <w:tcW w:type="dxa" w:w="2551"/>
            <w:shd w:fill="F2F2F2"/>
            <w:vAlign w:val="center"/>
          </w:tcPr>
          <w:p>
            <w:r>
              <w:rPr>
                <w:rFonts w:ascii="Carlito" w:hAnsi="Carlito" w:eastAsia="Carlito"/>
                <w:sz w:val="18"/>
              </w:rPr>
              <w:t>Tickets y ticket medio</w:t>
            </w:r>
          </w:p>
        </w:tc>
        <w:tc>
          <w:tcPr>
            <w:tcW w:type="dxa" w:w="6803"/>
            <w:shd w:fill="F2F2F2"/>
            <w:vAlign w:val="center"/>
          </w:tcPr>
          <w:p>
            <w:r>
              <w:rPr>
                <w:rFonts w:ascii="Carlito" w:hAnsi="Carlito" w:eastAsia="Carlito"/>
                <w:sz w:val="18"/>
              </w:rPr>
              <w:t>Número de operaciones y promedio por venta.</w:t>
            </w:r>
          </w:p>
        </w:tc>
      </w:tr>
    </w:tbl>
    <w:p>
      <w:pPr>
        <w:spacing w:after="40"/>
      </w:pPr>
    </w:p>
    <w:p>
      <w:pPr>
        <w:pStyle w:val="BodyText"/>
        <w:keepLines w:val="0"/>
        <w:spacing w:after="100" w:line="259" w:lineRule="auto"/>
        <w:ind w:left="0"/>
      </w:pPr>
      <w:r>
        <w:rPr>
          <w:rFonts w:ascii="Carlito" w:hAnsi="Carlito" w:eastAsia="Carlito"/>
          <w:i w:val="0"/>
          <w:sz w:val="21"/>
        </w:rPr>
        <w:t>Los valores de las gráficas deben mostrarse siempre de forma clara. No deben quedar cortados por el panel ni omitirse en gráficos donde sean necesarios para interpretar el resultado.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CRITERIO VISUAL: </w:t>
            </w:r>
            <w:r>
              <w:rPr>
                <w:rFonts w:ascii="Carlito" w:hAnsi="Carlito" w:eastAsia="Carlito"/>
                <w:color w:val="000000"/>
                <w:sz w:val="19"/>
              </w:rPr>
              <w:t>Si una gráfica no permite leer los valores, debe ampliarse el margen, mostrar etiquetas o sustituirse por otro tipo de gráfico más legible.</w:t>
            </w:r>
          </w:p>
        </w:tc>
      </w:tr>
    </w:tbl>
    <w:p>
      <w:pPr>
        <w:spacing w:after="20"/>
      </w:pPr>
    </w:p>
    <w:p>
      <w:pPr>
        <w:pStyle w:val="Heading2"/>
        <w:keepNext/>
      </w:pPr>
      <w:r>
        <w:t>10.2 Período de análisis</w:t>
      </w:r>
    </w:p>
    <w:p>
      <w:pPr>
        <w:pStyle w:val="BodyText"/>
        <w:keepLines w:val="0"/>
        <w:spacing w:after="100" w:line="259" w:lineRule="auto"/>
        <w:ind w:left="0"/>
      </w:pPr>
      <w:r>
        <w:rPr>
          <w:rFonts w:ascii="Carlito" w:hAnsi="Carlito" w:eastAsia="Carlito"/>
          <w:i w:val="0"/>
          <w:sz w:val="21"/>
        </w:rPr>
        <w:t>Para mejorar el rendimiento, el período predeterminado debe ser Hoy. Los períodos guardados o amplios pueden tardar más en ejecutarse, especialmente con un volumen elevado de datos.</w:t>
      </w:r>
    </w:p>
    <w:p>
      <w:pPr>
        <w:pStyle w:val="Heading2"/>
        <w:keepNext/>
      </w:pPr>
      <w:r>
        <w:t>10.3 Consulta libre</w:t>
      </w:r>
    </w:p>
    <w:p>
      <w:pPr>
        <w:pStyle w:val="BodyText"/>
        <w:keepLines w:val="0"/>
        <w:spacing w:after="100" w:line="259" w:lineRule="auto"/>
        <w:ind w:left="0"/>
      </w:pPr>
      <w:r>
        <w:rPr>
          <w:rFonts w:ascii="Carlito" w:hAnsi="Carlito" w:eastAsia="Carlito"/>
          <w:i w:val="0"/>
          <w:sz w:val="21"/>
        </w:rPr>
        <w:t>La consulta libre permite seleccionar tablas y campos o escribir una sentencia SQL. Está limitada a consultas SELECT para evitar modificaciones accidentales.</w:t>
      </w:r>
    </w:p>
    <w:p>
      <w:pPr>
        <w:pStyle w:val="ListBullet"/>
        <w:spacing w:after="40" w:line="240" w:lineRule="auto"/>
      </w:pPr>
      <w:r>
        <w:rPr>
          <w:rFonts w:ascii="Carlito" w:hAnsi="Carlito" w:eastAsia="Carlito"/>
          <w:sz w:val="20"/>
        </w:rPr>
        <w:t>Guardar y abrir consultas .sql.</w:t>
      </w:r>
    </w:p>
    <w:p>
      <w:pPr>
        <w:pStyle w:val="ListBullet"/>
        <w:spacing w:after="40" w:line="240" w:lineRule="auto"/>
      </w:pPr>
      <w:r>
        <w:rPr>
          <w:rFonts w:ascii="Carlito" w:hAnsi="Carlito" w:eastAsia="Carlito"/>
          <w:sz w:val="20"/>
        </w:rPr>
        <w:t>Mostrar BLOB o MEMO de forma legible cuando sea posible.</w:t>
      </w:r>
    </w:p>
    <w:p>
      <w:pPr>
        <w:pStyle w:val="ListBullet"/>
        <w:spacing w:after="40" w:line="240" w:lineRule="auto"/>
      </w:pPr>
      <w:r>
        <w:rPr>
          <w:rFonts w:ascii="Carlito" w:hAnsi="Carlito" w:eastAsia="Carlito"/>
          <w:sz w:val="20"/>
        </w:rPr>
        <w:t>No ejecutar INSERT, UPDATE, DELETE, ALTER o instrucciones equivalentes.</w:t>
      </w:r>
    </w:p>
    <w:p>
      <w:pPr>
        <w:pStyle w:val="ListBullet"/>
        <w:spacing w:after="40" w:line="240" w:lineRule="auto"/>
      </w:pPr>
      <w:r>
        <w:rPr>
          <w:rFonts w:ascii="Carlito" w:hAnsi="Carlito" w:eastAsia="Carlito"/>
          <w:sz w:val="20"/>
        </w:rPr>
        <w:t>Revisar el período y los filtros para evitar consultas demasiado pesadas.</w:t>
      </w:r>
    </w:p>
    <w:p>
      <w:pPr>
        <w:pStyle w:val="Heading2"/>
        <w:keepNext/>
      </w:pPr>
      <w:r>
        <w:t>10.4 Interpretación de descuentos</w:t>
      </w:r>
    </w:p>
    <w:p>
      <w:pPr>
        <w:pStyle w:val="BodyText"/>
        <w:keepLines w:val="0"/>
        <w:spacing w:after="100" w:line="259" w:lineRule="auto"/>
        <w:ind w:left="0"/>
      </w:pPr>
      <w:r>
        <w:rPr>
          <w:rFonts w:ascii="Carlito" w:hAnsi="Carlito" w:eastAsia="Carlito"/>
          <w:i w:val="0"/>
          <w:sz w:val="21"/>
        </w:rPr>
        <w:t>Las estadísticas de precio deben utilizar el precio real vendido después de descuentos. Registrar únicamente el PVP original puede inflar el precio medio y producir márgenes o análisis incorrectos.</w:t>
      </w: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Dashboard con valores visibles en todas las gráficas</w:t>
            </w:r>
          </w:p>
        </w:tc>
      </w:tr>
    </w:tbl>
    <w:p>
      <w:pPr>
        <w:spacing w:after="40"/>
      </w:pPr>
    </w:p>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Centro de Mantenimiento basado en uCentroMantenimientoFacturLinEx(4).pas.</w:t>
            </w:r>
          </w:p>
        </w:tc>
      </w:tr>
    </w:tbl>
    <w:p>
      <w:pPr>
        <w:spacing w:after="20"/>
      </w:pPr>
    </w:p>
    <w:p>
      <w:pPr>
        <w:pStyle w:val="Heading2"/>
        <w:keepNext/>
      </w:pPr>
      <w:r>
        <w:t>11.1 Política mínima de copias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814"/>
            <w:shd w:fill="1F4E78"/>
            <w:vAlign w:val="center"/>
          </w:tcPr>
          <w:p>
            <w:r>
              <w:rPr>
                <w:rFonts w:ascii="Carlito" w:hAnsi="Carlito" w:eastAsia="Carlito"/>
                <w:b/>
                <w:color w:val="FFFFFF"/>
                <w:sz w:val="18"/>
              </w:rPr>
              <w:t>Frecuencia</w:t>
            </w:r>
          </w:p>
        </w:tc>
        <w:tc>
          <w:tcPr>
            <w:tcW w:type="dxa" w:w="4139"/>
            <w:shd w:fill="1F4E78"/>
            <w:vAlign w:val="center"/>
          </w:tcPr>
          <w:p>
            <w:r>
              <w:rPr>
                <w:rFonts w:ascii="Carlito" w:hAnsi="Carlito" w:eastAsia="Carlito"/>
                <w:b/>
                <w:color w:val="FFFFFF"/>
                <w:sz w:val="18"/>
              </w:rPr>
              <w:t>Copia recomendada</w:t>
            </w:r>
          </w:p>
        </w:tc>
        <w:tc>
          <w:tcPr>
            <w:tcW w:type="dxa" w:w="3402"/>
            <w:shd w:fill="1F4E78"/>
            <w:vAlign w:val="center"/>
          </w:tcPr>
          <w:p>
            <w:r>
              <w:rPr>
                <w:rFonts w:ascii="Carlito" w:hAnsi="Carlito" w:eastAsia="Carlito"/>
                <w:b/>
                <w:color w:val="FFFFFF"/>
                <w:sz w:val="18"/>
              </w:rPr>
              <w:t>Conservación</w:t>
            </w:r>
          </w:p>
        </w:tc>
      </w:tr>
      <w:tr>
        <w:trPr>
          <w:cantSplit/>
        </w:trPr>
        <w:tc>
          <w:tcPr>
            <w:tcW w:type="dxa" w:w="1814"/>
            <w:vAlign w:val="center"/>
          </w:tcPr>
          <w:p>
            <w:r>
              <w:rPr>
                <w:rFonts w:ascii="Carlito" w:hAnsi="Carlito" w:eastAsia="Carlito"/>
                <w:sz w:val="18"/>
              </w:rPr>
              <w:t>Diaria</w:t>
            </w:r>
          </w:p>
        </w:tc>
        <w:tc>
          <w:tcPr>
            <w:tcW w:type="dxa" w:w="4139"/>
            <w:vAlign w:val="center"/>
          </w:tcPr>
          <w:p>
            <w:r>
              <w:rPr>
                <w:rFonts w:ascii="Carlito" w:hAnsi="Carlito" w:eastAsia="Carlito"/>
                <w:sz w:val="18"/>
              </w:rPr>
              <w:t>Base de datos y configuraciones esenciales.</w:t>
            </w:r>
          </w:p>
        </w:tc>
        <w:tc>
          <w:tcPr>
            <w:tcW w:type="dxa" w:w="3402"/>
            <w:vAlign w:val="center"/>
          </w:tcPr>
          <w:p>
            <w:r>
              <w:rPr>
                <w:rFonts w:ascii="Carlito" w:hAnsi="Carlito" w:eastAsia="Carlito"/>
                <w:sz w:val="18"/>
              </w:rPr>
              <w:t>Varias copias recientes.</w:t>
            </w:r>
          </w:p>
        </w:tc>
      </w:tr>
      <w:tr>
        <w:trPr>
          <w:cantSplit/>
        </w:trPr>
        <w:tc>
          <w:tcPr>
            <w:tcW w:type="dxa" w:w="1814"/>
            <w:shd w:fill="F2F2F2"/>
            <w:vAlign w:val="center"/>
          </w:tcPr>
          <w:p>
            <w:r>
              <w:rPr>
                <w:rFonts w:ascii="Carlito" w:hAnsi="Carlito" w:eastAsia="Carlito"/>
                <w:sz w:val="18"/>
              </w:rPr>
              <w:t>Semanal</w:t>
            </w:r>
          </w:p>
        </w:tc>
        <w:tc>
          <w:tcPr>
            <w:tcW w:type="dxa" w:w="4139"/>
            <w:shd w:fill="F2F2F2"/>
            <w:vAlign w:val="center"/>
          </w:tcPr>
          <w:p>
            <w:r>
              <w:rPr>
                <w:rFonts w:ascii="Carlito" w:hAnsi="Carlito" w:eastAsia="Carlito"/>
                <w:sz w:val="18"/>
              </w:rPr>
              <w:t>Copia completa del entorno de producción.</w:t>
            </w:r>
          </w:p>
        </w:tc>
        <w:tc>
          <w:tcPr>
            <w:tcW w:type="dxa" w:w="3402"/>
            <w:shd w:fill="F2F2F2"/>
            <w:vAlign w:val="center"/>
          </w:tcPr>
          <w:p>
            <w:r>
              <w:rPr>
                <w:rFonts w:ascii="Carlito" w:hAnsi="Carlito" w:eastAsia="Carlito"/>
                <w:sz w:val="18"/>
              </w:rPr>
              <w:t>Varias semanas.</w:t>
            </w:r>
          </w:p>
        </w:tc>
      </w:tr>
      <w:tr>
        <w:trPr>
          <w:cantSplit/>
        </w:trPr>
        <w:tc>
          <w:tcPr>
            <w:tcW w:type="dxa" w:w="1814"/>
            <w:vAlign w:val="center"/>
          </w:tcPr>
          <w:p>
            <w:r>
              <w:rPr>
                <w:rFonts w:ascii="Carlito" w:hAnsi="Carlito" w:eastAsia="Carlito"/>
                <w:sz w:val="18"/>
              </w:rPr>
              <w:t>Antes de una actualización</w:t>
            </w:r>
          </w:p>
        </w:tc>
        <w:tc>
          <w:tcPr>
            <w:tcW w:type="dxa" w:w="4139"/>
            <w:vAlign w:val="center"/>
          </w:tcPr>
          <w:p>
            <w:r>
              <w:rPr>
                <w:rFonts w:ascii="Carlito" w:hAnsi="Carlito" w:eastAsia="Carlito"/>
                <w:sz w:val="18"/>
              </w:rPr>
              <w:t>Programa, unidades modificadas, recursos y BBDD.</w:t>
            </w:r>
          </w:p>
        </w:tc>
        <w:tc>
          <w:tcPr>
            <w:tcW w:type="dxa" w:w="3402"/>
            <w:vAlign w:val="center"/>
          </w:tcPr>
          <w:p>
            <w:r>
              <w:rPr>
                <w:rFonts w:ascii="Carlito" w:hAnsi="Carlito" w:eastAsia="Carlito"/>
                <w:sz w:val="18"/>
              </w:rPr>
              <w:t>Hasta validar la nueva versión.</w:t>
            </w:r>
          </w:p>
        </w:tc>
      </w:tr>
      <w:tr>
        <w:trPr>
          <w:cantSplit/>
        </w:trPr>
        <w:tc>
          <w:tcPr>
            <w:tcW w:type="dxa" w:w="1814"/>
            <w:shd w:fill="F2F2F2"/>
            <w:vAlign w:val="center"/>
          </w:tcPr>
          <w:p>
            <w:r>
              <w:rPr>
                <w:rFonts w:ascii="Carlito" w:hAnsi="Carlito" w:eastAsia="Carlito"/>
                <w:sz w:val="18"/>
              </w:rPr>
              <w:t>Antes de cambios masivos</w:t>
            </w:r>
          </w:p>
        </w:tc>
        <w:tc>
          <w:tcPr>
            <w:tcW w:type="dxa" w:w="4139"/>
            <w:shd w:fill="F2F2F2"/>
            <w:vAlign w:val="center"/>
          </w:tcPr>
          <w:p>
            <w:r>
              <w:rPr>
                <w:rFonts w:ascii="Carlito" w:hAnsi="Carlito" w:eastAsia="Carlito"/>
                <w:sz w:val="18"/>
              </w:rPr>
              <w:t>BBDD completa.</w:t>
            </w:r>
          </w:p>
        </w:tc>
        <w:tc>
          <w:tcPr>
            <w:tcW w:type="dxa" w:w="3402"/>
            <w:shd w:fill="F2F2F2"/>
            <w:vAlign w:val="center"/>
          </w:tcPr>
          <w:p>
            <w:r>
              <w:rPr>
                <w:rFonts w:ascii="Carlito" w:hAnsi="Carlito" w:eastAsia="Carlito"/>
                <w:sz w:val="18"/>
              </w:rPr>
              <w:t>Hasta comprobar resultados y cierres.</w:t>
            </w:r>
          </w:p>
        </w:tc>
      </w:tr>
    </w:tbl>
    <w:p>
      <w:pPr>
        <w:spacing w:after="40"/>
      </w:pPr>
    </w:p>
    <w:p>
      <w:pPr>
        <w:pStyle w:val="Heading2"/>
        <w:keepNext/>
      </w:pPr>
      <w:r>
        <w:t>11.2 Restauración</w:t>
      </w:r>
    </w:p>
    <w:p>
      <w:pPr>
        <w:pStyle w:val="BodyText"/>
        <w:keepLines w:val="0"/>
        <w:spacing w:after="100" w:line="259" w:lineRule="auto"/>
        <w:ind w:left="0"/>
      </w:pPr>
      <w:r>
        <w:rPr>
          <w:rFonts w:ascii="Carlito" w:hAnsi="Carlito" w:eastAsia="Carlito"/>
          <w:i w:val="0"/>
          <w:sz w:val="21"/>
        </w:rPr>
        <w:t>Restaurar reemplaza o reconstruye datos. Debe realizarse en un entorno controlado, con el programa cerrado y con una copia del estado actual, incluso cuando el estado actual sea defectuoso.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Identificar la copia correcta y su fecha.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Comprobar versión del programa y estructura de tablas.</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Crear una copia del estado actual.</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Restaurar en un entorno de prueba cuando sea posible.</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clientes, artículos, ventas, numeraciones y documentos recientes.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Pasar a producción únicamente después de validar.</w:t>
      </w:r>
    </w:p>
    <w:p>
      <w:pPr>
        <w:pStyle w:val="Heading2"/>
        <w:keepNext/>
      </w:pPr>
      <w:r>
        <w:t>11.3 Centro de Mantenimiento</w:t>
      </w:r>
    </w:p>
    <w:p>
      <w:pPr>
        <w:pStyle w:val="BodyText"/>
        <w:keepLines w:val="0"/>
        <w:spacing w:after="100" w:line="259" w:lineRule="auto"/>
        <w:ind w:left="0"/>
      </w:pPr>
      <w:r>
        <w:rPr>
          <w:rFonts w:ascii="Carlito" w:hAnsi="Carlito" w:eastAsia="Carlito"/>
          <w:i w:val="0"/>
          <w:sz w:val="21"/>
        </w:rPr>
        <w:t>El Centro de Mantenimiento incorpora información de BBDD, comprobación de tablas, reparación y conversión de motor. Estas operaciones deben estar reservadas a personal con conocimientos y copia previa.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Herramienta</w:t>
            </w:r>
          </w:p>
        </w:tc>
        <w:tc>
          <w:tcPr>
            <w:tcW w:type="dxa" w:w="6803"/>
            <w:shd w:fill="1F4E78"/>
            <w:vAlign w:val="center"/>
          </w:tcPr>
          <w:p>
            <w:r>
              <w:rPr>
                <w:rFonts w:ascii="Carlito" w:hAnsi="Carlito" w:eastAsia="Carlito"/>
                <w:b/>
                <w:color w:val="FFFFFF"/>
                <w:sz w:val="18"/>
              </w:rPr>
              <w:t>Uso</w:t>
            </w:r>
          </w:p>
        </w:tc>
      </w:tr>
      <w:tr>
        <w:trPr>
          <w:cantSplit/>
        </w:trPr>
        <w:tc>
          <w:tcPr>
            <w:tcW w:type="dxa" w:w="2551"/>
            <w:vAlign w:val="center"/>
          </w:tcPr>
          <w:p>
            <w:r>
              <w:rPr>
                <w:rFonts w:ascii="Carlito" w:hAnsi="Carlito" w:eastAsia="Carlito"/>
                <w:sz w:val="18"/>
              </w:rPr>
              <w:t>Info BBDD</w:t>
            </w:r>
          </w:p>
        </w:tc>
        <w:tc>
          <w:tcPr>
            <w:tcW w:type="dxa" w:w="6803"/>
            <w:vAlign w:val="center"/>
          </w:tcPr>
          <w:p>
            <w:r>
              <w:rPr>
                <w:rFonts w:ascii="Carlito" w:hAnsi="Carlito" w:eastAsia="Carlito"/>
                <w:sz w:val="18"/>
              </w:rPr>
              <w:t>Consulta información general del servidor y tablas.</w:t>
            </w:r>
          </w:p>
        </w:tc>
      </w:tr>
      <w:tr>
        <w:trPr>
          <w:cantSplit/>
        </w:trPr>
        <w:tc>
          <w:tcPr>
            <w:tcW w:type="dxa" w:w="2551"/>
            <w:shd w:fill="F2F2F2"/>
            <w:vAlign w:val="center"/>
          </w:tcPr>
          <w:p>
            <w:r>
              <w:rPr>
                <w:rFonts w:ascii="Carlito" w:hAnsi="Carlito" w:eastAsia="Carlito"/>
                <w:sz w:val="18"/>
              </w:rPr>
              <w:t>Check tablas</w:t>
            </w:r>
          </w:p>
        </w:tc>
        <w:tc>
          <w:tcPr>
            <w:tcW w:type="dxa" w:w="6803"/>
            <w:shd w:fill="F2F2F2"/>
            <w:vAlign w:val="center"/>
          </w:tcPr>
          <w:p>
            <w:r>
              <w:rPr>
                <w:rFonts w:ascii="Carlito" w:hAnsi="Carlito" w:eastAsia="Carlito"/>
                <w:sz w:val="18"/>
              </w:rPr>
              <w:t>Comprueba el estado de las tablas.</w:t>
            </w:r>
          </w:p>
        </w:tc>
      </w:tr>
      <w:tr>
        <w:trPr>
          <w:cantSplit/>
        </w:trPr>
        <w:tc>
          <w:tcPr>
            <w:tcW w:type="dxa" w:w="2551"/>
            <w:vAlign w:val="center"/>
          </w:tcPr>
          <w:p>
            <w:r>
              <w:rPr>
                <w:rFonts w:ascii="Carlito" w:hAnsi="Carlito" w:eastAsia="Carlito"/>
                <w:sz w:val="18"/>
              </w:rPr>
              <w:t>Reparar tablas</w:t>
            </w:r>
          </w:p>
        </w:tc>
        <w:tc>
          <w:tcPr>
            <w:tcW w:type="dxa" w:w="6803"/>
            <w:vAlign w:val="center"/>
          </w:tcPr>
          <w:p>
            <w:r>
              <w:rPr>
                <w:rFonts w:ascii="Carlito" w:hAnsi="Carlito" w:eastAsia="Carlito"/>
                <w:sz w:val="18"/>
              </w:rPr>
              <w:t>Intenta reparar tablas compatibles cuando existen errores.</w:t>
            </w:r>
          </w:p>
        </w:tc>
      </w:tr>
      <w:tr>
        <w:trPr>
          <w:cantSplit/>
        </w:trPr>
        <w:tc>
          <w:tcPr>
            <w:tcW w:type="dxa" w:w="2551"/>
            <w:shd w:fill="F2F2F2"/>
            <w:vAlign w:val="center"/>
          </w:tcPr>
          <w:p>
            <w:r>
              <w:rPr>
                <w:rFonts w:ascii="Carlito" w:hAnsi="Carlito" w:eastAsia="Carlito"/>
                <w:sz w:val="18"/>
              </w:rPr>
              <w:t>Convertir motor</w:t>
            </w:r>
          </w:p>
        </w:tc>
        <w:tc>
          <w:tcPr>
            <w:tcW w:type="dxa" w:w="6803"/>
            <w:shd w:fill="F2F2F2"/>
            <w:vAlign w:val="center"/>
          </w:tcPr>
          <w:p>
            <w:r>
              <w:rPr>
                <w:rFonts w:ascii="Carlito" w:hAnsi="Carlito" w:eastAsia="Carlito"/>
                <w:sz w:val="18"/>
              </w:rPr>
              <w:t>Cambia el motor de almacenamiento de tablas seleccionadas.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ejecutar Reparar o Convertir motor como primera respuesta a cualquier error. Identificar la tabla, revisar el mensaje y conservar una copia completa.</w:t>
            </w:r>
          </w:p>
        </w:tc>
      </w:tr>
    </w:tbl>
    <w:p>
      <w:pPr>
        <w:spacing w:after="20"/>
      </w:pPr>
    </w:p>
    <w:p>
      <w:pPr>
        <w:pStyle w:val="Heading2"/>
        <w:keepNext/>
      </w:pPr>
      <w:r>
        <w:t>11.4 Actualización del programa</w:t>
      </w:r>
    </w:p>
    <w:p>
      <w:pPr>
        <w:pStyle w:val="BodyText"/>
        <w:keepLines w:val="0"/>
        <w:spacing w:after="100" w:line="259" w:lineRule="auto"/>
        <w:ind w:left="0"/>
      </w:pPr>
      <w:r>
        <w:rPr>
          <w:rFonts w:ascii="Carlito" w:hAnsi="Carlito" w:eastAsia="Carlito"/>
          <w:i w:val="0"/>
          <w:sz w:val="21"/>
        </w:rPr>
        <w:t>Las revisiones deben mantenerse en paquetes identificables. El flujo recomendado consiste en conservar la versión estable, aplicar cambios quirúrgicos, compilar por terminal, probar y etiquetar la revisión aceptada.</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Copia de la versión estable.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Unidades modificadas identificadas.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Compilación completa con lazbuild -B.</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Pruebas funcionales del módulo modificado.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funciones relacionadas para detectar efectos laterales.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Paquete ZIP con nombre y versión claros.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de la versión validada.</w:t>
            </w:r>
          </w:p>
        </w:tc>
      </w:tr>
    </w:tbl>
    <w:p>
      <w:pPr>
        <w:spacing w:after="40"/>
      </w:pPr>
    </w:p>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USO: </w:t>
            </w:r>
            <w:r>
              <w:rPr>
                <w:rFonts w:ascii="Carlito" w:hAnsi="Carlito" w:eastAsia="Carlito"/>
                <w:color w:val="000000"/>
                <w:sz w:val="19"/>
              </w:rPr>
              <w:t>Este capítulo ofrece un diagnóstico inicial. No sustituye la revisión de la unidad, formulario, SQL o datos implicados.</w:t>
            </w:r>
          </w:p>
        </w:tc>
      </w:tr>
    </w:tbl>
    <w:p>
      <w:pPr>
        <w:spacing w:after="20"/>
      </w:pPr>
    </w:p>
    <w:p>
      <w:pPr>
        <w:pStyle w:val="Heading2"/>
        <w:keepNext/>
      </w:pPr>
      <w:r>
        <w:t>12.1 El formulario abre, pero no muestra datos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que la conexión está activa.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Revisar filtros, código introducido y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Probar la consulta sin filtro cuando el módulo lo permita.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Verificar que los campos del dataset coinciden con los nombres utilizados.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Revisar eventos OnShow, OnActivate, OnClick y métodos de consulta.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Comprobar si una excepción se está ocultando.</w:t>
      </w:r>
    </w:p>
    <w:p>
      <w:pPr>
        <w:pStyle w:val="Heading2"/>
        <w:keepNext/>
      </w:pPr>
      <w:r>
        <w:t>12.2 Un botón no hace nada</w:t>
      </w:r>
    </w:p>
    <w:p>
      <w:pPr>
        <w:pStyle w:val="ListBullet"/>
        <w:spacing w:after="40" w:line="240" w:lineRule="auto"/>
      </w:pPr>
      <w:r>
        <w:rPr>
          <w:rFonts w:ascii="Carlito" w:hAnsi="Carlito" w:eastAsia="Carlito"/>
          <w:sz w:val="20"/>
        </w:rPr>
        <w:t>Comprobar que tiene evento OnClick asignado en el .lfm.</w:t>
      </w:r>
    </w:p>
    <w:p>
      <w:pPr>
        <w:pStyle w:val="ListBullet"/>
        <w:spacing w:after="40" w:line="240" w:lineRule="auto"/>
      </w:pPr>
      <w:r>
        <w:rPr>
          <w:rFonts w:ascii="Carlito" w:hAnsi="Carlito" w:eastAsia="Carlito"/>
          <w:sz w:val="20"/>
        </w:rPr>
        <w:t>Verificar que no existe otro control superpuesto.</w:t>
      </w:r>
    </w:p>
    <w:p>
      <w:pPr>
        <w:pStyle w:val="ListBullet"/>
        <w:spacing w:after="40" w:line="240" w:lineRule="auto"/>
      </w:pPr>
      <w:r>
        <w:rPr>
          <w:rFonts w:ascii="Carlito" w:hAnsi="Carlito" w:eastAsia="Carlito"/>
          <w:sz w:val="20"/>
        </w:rPr>
        <w:t>Revisar Enabled, Visible y permisos.</w:t>
      </w:r>
    </w:p>
    <w:p>
      <w:pPr>
        <w:pStyle w:val="ListBullet"/>
        <w:spacing w:after="40" w:line="240" w:lineRule="auto"/>
      </w:pPr>
      <w:r>
        <w:rPr>
          <w:rFonts w:ascii="Carlito" w:hAnsi="Carlito" w:eastAsia="Carlito"/>
          <w:sz w:val="20"/>
        </w:rPr>
        <w:t>Añadir trazas o mensajes temporales al inicio del procedimiento.</w:t>
      </w:r>
    </w:p>
    <w:p>
      <w:pPr>
        <w:pStyle w:val="ListBullet"/>
        <w:spacing w:after="40" w:line="240" w:lineRule="auto"/>
      </w:pPr>
      <w:r>
        <w:rPr>
          <w:rFonts w:ascii="Carlito" w:hAnsi="Carlito" w:eastAsia="Carlito"/>
          <w:sz w:val="20"/>
        </w:rPr>
        <w:t>Confirmar que se está compilando y ejecutando la unidad modificada.</w:t>
      </w:r>
    </w:p>
    <w:p>
      <w:pPr>
        <w:pStyle w:val="Heading2"/>
        <w:keepNext/>
      </w:pPr>
      <w:r>
        <w:t>12.3 Problemas de foco o atajos</w:t>
      </w:r>
    </w:p>
    <w:p>
      <w:pPr>
        <w:pStyle w:val="ListBullet"/>
        <w:spacing w:after="40" w:line="240" w:lineRule="auto"/>
      </w:pPr>
      <w:r>
        <w:rPr>
          <w:rFonts w:ascii="Carlito" w:hAnsi="Carlito" w:eastAsia="Carlito"/>
          <w:sz w:val="20"/>
        </w:rPr>
        <w:t>Comprobar KeyPreview del formulario.</w:t>
      </w:r>
    </w:p>
    <w:p>
      <w:pPr>
        <w:pStyle w:val="ListBullet"/>
        <w:spacing w:after="40" w:line="240" w:lineRule="auto"/>
      </w:pPr>
      <w:r>
        <w:rPr>
          <w:rFonts w:ascii="Carlito" w:hAnsi="Carlito" w:eastAsia="Carlito"/>
          <w:sz w:val="20"/>
        </w:rPr>
        <w:t>Revisar OnKeyDown, OnUTF8KeyPress y mensajes de aplicación.</w:t>
      </w:r>
    </w:p>
    <w:p>
      <w:pPr>
        <w:pStyle w:val="ListBullet"/>
        <w:spacing w:after="40" w:line="240" w:lineRule="auto"/>
      </w:pPr>
      <w:r>
        <w:rPr>
          <w:rFonts w:ascii="Carlito" w:hAnsi="Carlito" w:eastAsia="Carlito"/>
          <w:sz w:val="20"/>
        </w:rPr>
        <w:t>Evitar que un control consuma la combinación antes del formulario.</w:t>
      </w:r>
    </w:p>
    <w:p>
      <w:pPr>
        <w:pStyle w:val="ListBullet"/>
        <w:spacing w:after="40" w:line="240" w:lineRule="auto"/>
      </w:pPr>
      <w:r>
        <w:rPr>
          <w:rFonts w:ascii="Carlito" w:hAnsi="Carlito" w:eastAsia="Carlito"/>
          <w:sz w:val="20"/>
        </w:rPr>
        <w:t>Comprobar que el atajo funciona en el panel principal y no solo al totalizar.</w:t>
      </w:r>
    </w:p>
    <w:p>
      <w:pPr>
        <w:pStyle w:val="ListBullet"/>
        <w:spacing w:after="40" w:line="240" w:lineRule="auto"/>
      </w:pPr>
      <w:r>
        <w:rPr>
          <w:rFonts w:ascii="Carlito" w:hAnsi="Carlito" w:eastAsia="Carlito"/>
          <w:sz w:val="20"/>
        </w:rPr>
        <w:t>No modificar los atajos F(x) existentes al añadir combinaciones Ctrl.</w:t>
      </w:r>
    </w:p>
    <w:p>
      <w:pPr>
        <w:pStyle w:val="Heading2"/>
        <w:keepNext/>
      </w:pPr>
      <w:r>
        <w:t>12.4 Texto oculto, negro o superpuesto</w:t>
      </w:r>
    </w:p>
    <w:p>
      <w:pPr>
        <w:pStyle w:val="ListBullet"/>
        <w:spacing w:after="40" w:line="240" w:lineRule="auto"/>
      </w:pPr>
      <w:r>
        <w:rPr>
          <w:rFonts w:ascii="Carlito" w:hAnsi="Carlito" w:eastAsia="Carlito"/>
          <w:sz w:val="20"/>
        </w:rPr>
        <w:t>Revisar Font.Color y ParentColor.</w:t>
      </w:r>
    </w:p>
    <w:p>
      <w:pPr>
        <w:pStyle w:val="ListBullet"/>
        <w:spacing w:after="40" w:line="240" w:lineRule="auto"/>
      </w:pPr>
      <w:r>
        <w:rPr>
          <w:rFonts w:ascii="Carlito" w:hAnsi="Carlito" w:eastAsia="Carlito"/>
          <w:sz w:val="20"/>
        </w:rPr>
        <w:t>Comprobar Z-order con BringToFront o SendToBack cuando sea apropiado.</w:t>
      </w:r>
    </w:p>
    <w:p>
      <w:pPr>
        <w:pStyle w:val="ListBullet"/>
        <w:spacing w:after="40" w:line="240" w:lineRule="auto"/>
      </w:pPr>
      <w:r>
        <w:rPr>
          <w:rFonts w:ascii="Carlito" w:hAnsi="Carlito" w:eastAsia="Carlito"/>
          <w:sz w:val="20"/>
        </w:rPr>
        <w:t>Evitar crear repetidamente labels o mensajes sin destruir los anteriores.</w:t>
      </w:r>
    </w:p>
    <w:p>
      <w:pPr>
        <w:pStyle w:val="ListBullet"/>
        <w:spacing w:after="40" w:line="240" w:lineRule="auto"/>
      </w:pPr>
      <w:r>
        <w:rPr>
          <w:rFonts w:ascii="Carlito" w:hAnsi="Carlito" w:eastAsia="Carlito"/>
          <w:sz w:val="20"/>
        </w:rPr>
        <w:t>Revisar AutoSize, Anchors y Align.</w:t>
      </w:r>
    </w:p>
    <w:p>
      <w:pPr>
        <w:pStyle w:val="ListBullet"/>
        <w:spacing w:after="40" w:line="240" w:lineRule="auto"/>
      </w:pPr>
      <w:r>
        <w:rPr>
          <w:rFonts w:ascii="Carlito" w:hAnsi="Carlito" w:eastAsia="Carlito"/>
          <w:sz w:val="20"/>
        </w:rPr>
        <w:t>Comprobar el resultado en la resolución real del usuario.</w:t>
      </w:r>
    </w:p>
    <w:p>
      <w:pPr>
        <w:pStyle w:val="Heading2"/>
        <w:keepNext/>
      </w:pPr>
      <w:r>
        <w:t>12.5 Errores SQL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948"/>
            <w:shd w:fill="1F4E78"/>
            <w:vAlign w:val="center"/>
          </w:tcPr>
          <w:p>
            <w:r>
              <w:rPr>
                <w:rFonts w:ascii="Carlito" w:hAnsi="Carlito" w:eastAsia="Carlito"/>
                <w:b/>
                <w:color w:val="FFFFFF"/>
                <w:sz w:val="18"/>
              </w:rPr>
              <w:t>Mensaje</w:t>
            </w:r>
          </w:p>
        </w:tc>
        <w:tc>
          <w:tcPr>
            <w:tcW w:type="dxa" w:w="6406"/>
            <w:shd w:fill="1F4E78"/>
            <w:vAlign w:val="center"/>
          </w:tcPr>
          <w:p>
            <w:r>
              <w:rPr>
                <w:rFonts w:ascii="Carlito" w:hAnsi="Carlito" w:eastAsia="Carlito"/>
                <w:b/>
                <w:color w:val="FFFFFF"/>
                <w:sz w:val="18"/>
              </w:rPr>
              <w:t>Revisión inicial</w:t>
            </w:r>
          </w:p>
        </w:tc>
      </w:tr>
      <w:tr>
        <w:trPr>
          <w:cantSplit/>
        </w:trPr>
        <w:tc>
          <w:tcPr>
            <w:tcW w:type="dxa" w:w="2948"/>
            <w:vAlign w:val="center"/>
          </w:tcPr>
          <w:p>
            <w:r>
              <w:rPr>
                <w:rFonts w:ascii="Carlito" w:hAnsi="Carlito" w:eastAsia="Carlito"/>
                <w:sz w:val="18"/>
              </w:rPr>
              <w:t>Error cerca de AND</w:t>
            </w:r>
          </w:p>
        </w:tc>
        <w:tc>
          <w:tcPr>
            <w:tcW w:type="dxa" w:w="6406"/>
            <w:vAlign w:val="center"/>
          </w:tcPr>
          <w:p>
            <w:r>
              <w:rPr>
                <w:rFonts w:ascii="Carlito" w:hAnsi="Carlito" w:eastAsia="Carlito"/>
                <w:sz w:val="18"/>
              </w:rPr>
              <w:t>Comprobar WHERE, parámetros vacíos y concatenación de condiciones.</w:t>
            </w:r>
          </w:p>
        </w:tc>
      </w:tr>
      <w:tr>
        <w:trPr>
          <w:cantSplit/>
        </w:trPr>
        <w:tc>
          <w:tcPr>
            <w:tcW w:type="dxa" w:w="2948"/>
            <w:shd w:fill="F2F2F2"/>
            <w:vAlign w:val="center"/>
          </w:tcPr>
          <w:p>
            <w:r>
              <w:rPr>
                <w:rFonts w:ascii="Carlito" w:hAnsi="Carlito" w:eastAsia="Carlito"/>
                <w:sz w:val="18"/>
              </w:rPr>
              <w:t>Unknown column</w:t>
            </w:r>
          </w:p>
        </w:tc>
        <w:tc>
          <w:tcPr>
            <w:tcW w:type="dxa" w:w="6406"/>
            <w:shd w:fill="F2F2F2"/>
            <w:vAlign w:val="center"/>
          </w:tcPr>
          <w:p>
            <w:r>
              <w:rPr>
                <w:rFonts w:ascii="Carlito" w:hAnsi="Carlito" w:eastAsia="Carlito"/>
                <w:sz w:val="18"/>
              </w:rPr>
              <w:t>Revisar nombre de campo, alias y estructura real de la tabla.</w:t>
            </w:r>
          </w:p>
        </w:tc>
      </w:tr>
      <w:tr>
        <w:trPr>
          <w:cantSplit/>
        </w:trPr>
        <w:tc>
          <w:tcPr>
            <w:tcW w:type="dxa" w:w="2948"/>
            <w:vAlign w:val="center"/>
          </w:tcPr>
          <w:p>
            <w:r>
              <w:rPr>
                <w:rFonts w:ascii="Carlito" w:hAnsi="Carlito" w:eastAsia="Carlito"/>
                <w:sz w:val="18"/>
              </w:rPr>
              <w:t>Illegal mix of collations</w:t>
            </w:r>
          </w:p>
        </w:tc>
        <w:tc>
          <w:tcPr>
            <w:tcW w:type="dxa" w:w="6406"/>
            <w:vAlign w:val="center"/>
          </w:tcPr>
          <w:p>
            <w:r>
              <w:rPr>
                <w:rFonts w:ascii="Carlito" w:hAnsi="Carlito" w:eastAsia="Carlito"/>
                <w:sz w:val="18"/>
              </w:rPr>
              <w:t>Revisar charset y collation de las columnas comparadas.</w:t>
            </w:r>
          </w:p>
        </w:tc>
      </w:tr>
      <w:tr>
        <w:trPr>
          <w:cantSplit/>
        </w:trPr>
        <w:tc>
          <w:tcPr>
            <w:tcW w:type="dxa" w:w="2948"/>
            <w:shd w:fill="F2F2F2"/>
            <w:vAlign w:val="center"/>
          </w:tcPr>
          <w:p>
            <w:r>
              <w:rPr>
                <w:rFonts w:ascii="Carlito" w:hAnsi="Carlito" w:eastAsia="Carlito"/>
                <w:sz w:val="18"/>
              </w:rPr>
              <w:t>No devuelve filas</w:t>
            </w:r>
          </w:p>
        </w:tc>
        <w:tc>
          <w:tcPr>
            <w:tcW w:type="dxa" w:w="6406"/>
            <w:shd w:fill="F2F2F2"/>
            <w:vAlign w:val="center"/>
          </w:tcPr>
          <w:p>
            <w:r>
              <w:rPr>
                <w:rFonts w:ascii="Carlito" w:hAnsi="Carlito" w:eastAsia="Carlito"/>
                <w:sz w:val="18"/>
              </w:rPr>
              <w:t>Mostrar la SQL final y ejecutar con los mismos parámetros.</w:t>
            </w:r>
          </w:p>
        </w:tc>
      </w:tr>
      <w:tr>
        <w:trPr>
          <w:cantSplit/>
        </w:trPr>
        <w:tc>
          <w:tcPr>
            <w:tcW w:type="dxa" w:w="2948"/>
            <w:vAlign w:val="center"/>
          </w:tcPr>
          <w:p>
            <w:r>
              <w:rPr>
                <w:rFonts w:ascii="Carlito" w:hAnsi="Carlito" w:eastAsia="Carlito"/>
                <w:sz w:val="18"/>
              </w:rPr>
              <w:t>Duplicidad</w:t>
            </w:r>
          </w:p>
        </w:tc>
        <w:tc>
          <w:tcPr>
            <w:tcW w:type="dxa" w:w="6406"/>
            <w:vAlign w:val="center"/>
          </w:tcPr>
          <w:p>
            <w:r>
              <w:rPr>
                <w:rFonts w:ascii="Carlito" w:hAnsi="Carlito" w:eastAsia="Carlito"/>
                <w:sz w:val="18"/>
              </w:rPr>
              <w:t>Revisar clave primaria, serie/número y operaciones repetidas.</w:t>
            </w:r>
          </w:p>
        </w:tc>
      </w:tr>
    </w:tbl>
    <w:p>
      <w:pPr>
        <w:spacing w:after="40"/>
      </w:pPr>
    </w:p>
    <w:p>
      <w:pPr>
        <w:pStyle w:val="Heading2"/>
        <w:keepNext/>
      </w:pPr>
      <w:r>
        <w:t>12.6 Errores de compilación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572"/>
            <w:shd w:fill="1F4E78"/>
            <w:vAlign w:val="center"/>
          </w:tcPr>
          <w:p>
            <w:r>
              <w:rPr>
                <w:rFonts w:ascii="Carlito" w:hAnsi="Carlito" w:eastAsia="Carlito"/>
                <w:b/>
                <w:color w:val="FFFFFF"/>
                <w:sz w:val="18"/>
              </w:rPr>
              <w:t>Error</w:t>
            </w:r>
          </w:p>
        </w:tc>
        <w:tc>
          <w:tcPr>
            <w:tcW w:type="dxa" w:w="5783"/>
            <w:shd w:fill="1F4E78"/>
            <w:vAlign w:val="center"/>
          </w:tcPr>
          <w:p>
            <w:r>
              <w:rPr>
                <w:rFonts w:ascii="Carlito" w:hAnsi="Carlito" w:eastAsia="Carlito"/>
                <w:b/>
                <w:color w:val="FFFFFF"/>
                <w:sz w:val="18"/>
              </w:rPr>
              <w:t>Causa habitual</w:t>
            </w:r>
          </w:p>
        </w:tc>
      </w:tr>
      <w:tr>
        <w:trPr>
          <w:cantSplit/>
        </w:trPr>
        <w:tc>
          <w:tcPr>
            <w:tcW w:type="dxa" w:w="3572"/>
            <w:vAlign w:val="center"/>
          </w:tcPr>
          <w:p>
            <w:r>
              <w:rPr>
                <w:rFonts w:ascii="Carlito" w:hAnsi="Carlito" w:eastAsia="Carlito"/>
                <w:sz w:val="18"/>
              </w:rPr>
              <w:t>Identifier not found Self</w:t>
            </w:r>
          </w:p>
        </w:tc>
        <w:tc>
          <w:tcPr>
            <w:tcW w:type="dxa" w:w="5783"/>
            <w:vAlign w:val="center"/>
          </w:tcPr>
          <w:p>
            <w:r>
              <w:rPr>
                <w:rFonts w:ascii="Carlito" w:hAnsi="Carlito" w:eastAsia="Carlito"/>
                <w:sz w:val="18"/>
              </w:rPr>
              <w:t>Código situado fuera de un método de instancia o referencia incorrecta.</w:t>
            </w:r>
          </w:p>
        </w:tc>
      </w:tr>
      <w:tr>
        <w:trPr>
          <w:cantSplit/>
        </w:trPr>
        <w:tc>
          <w:tcPr>
            <w:tcW w:type="dxa" w:w="3572"/>
            <w:shd w:fill="F2F2F2"/>
            <w:vAlign w:val="center"/>
          </w:tcPr>
          <w:p>
            <w:r>
              <w:rPr>
                <w:rFonts w:ascii="Carlito" w:hAnsi="Carlito" w:eastAsia="Carlito"/>
                <w:sz w:val="18"/>
              </w:rPr>
              <w:t>Identifier idents no member ParentColor</w:t>
            </w:r>
          </w:p>
        </w:tc>
        <w:tc>
          <w:tcPr>
            <w:tcW w:type="dxa" w:w="5783"/>
            <w:shd w:fill="F2F2F2"/>
            <w:vAlign w:val="center"/>
          </w:tcPr>
          <w:p>
            <w:r>
              <w:rPr>
                <w:rFonts w:ascii="Carlito" w:hAnsi="Carlito" w:eastAsia="Carlito"/>
                <w:sz w:val="18"/>
              </w:rPr>
              <w:t>Propiedad no disponible para ese componente o clase.</w:t>
            </w:r>
          </w:p>
        </w:tc>
      </w:tr>
      <w:tr>
        <w:trPr>
          <w:cantSplit/>
        </w:trPr>
        <w:tc>
          <w:tcPr>
            <w:tcW w:type="dxa" w:w="3572"/>
            <w:vAlign w:val="center"/>
          </w:tcPr>
          <w:p>
            <w:r>
              <w:rPr>
                <w:rFonts w:ascii="Carlito" w:hAnsi="Carlito" w:eastAsia="Carlito"/>
                <w:sz w:val="18"/>
              </w:rPr>
              <w:t>Fields cannot appear after a method</w:t>
            </w:r>
          </w:p>
        </w:tc>
        <w:tc>
          <w:tcPr>
            <w:tcW w:type="dxa" w:w="5783"/>
            <w:vAlign w:val="center"/>
          </w:tcPr>
          <w:p>
            <w:r>
              <w:rPr>
                <w:rFonts w:ascii="Carlito" w:hAnsi="Carlito" w:eastAsia="Carlito"/>
                <w:sz w:val="18"/>
              </w:rPr>
              <w:t>Declaración de campos colocada después de métodos en la clase.</w:t>
            </w:r>
          </w:p>
        </w:tc>
      </w:tr>
      <w:tr>
        <w:trPr>
          <w:cantSplit/>
        </w:trPr>
        <w:tc>
          <w:tcPr>
            <w:tcW w:type="dxa" w:w="3572"/>
            <w:shd w:fill="F2F2F2"/>
            <w:vAlign w:val="center"/>
          </w:tcPr>
          <w:p>
            <w:r>
              <w:rPr>
                <w:rFonts w:ascii="Carlito" w:hAnsi="Carlito" w:eastAsia="Carlito"/>
                <w:sz w:val="18"/>
              </w:rPr>
              <w:t>Redeclaration en Kotlin</w:t>
            </w:r>
          </w:p>
        </w:tc>
        <w:tc>
          <w:tcPr>
            <w:tcW w:type="dxa" w:w="5783"/>
            <w:shd w:fill="F2F2F2"/>
            <w:vAlign w:val="center"/>
          </w:tcPr>
          <w:p>
            <w:r>
              <w:rPr>
                <w:rFonts w:ascii="Carlito" w:hAnsi="Carlito" w:eastAsia="Carlito"/>
                <w:sz w:val="18"/>
              </w:rPr>
              <w:t>Clase o archivo duplicado en el proyecto Android.</w:t>
            </w:r>
          </w:p>
        </w:tc>
      </w:tr>
      <w:tr>
        <w:trPr>
          <w:cantSplit/>
        </w:trPr>
        <w:tc>
          <w:tcPr>
            <w:tcW w:type="dxa" w:w="3572"/>
            <w:vAlign w:val="center"/>
          </w:tcPr>
          <w:p>
            <w:r>
              <w:rPr>
                <w:rFonts w:ascii="Carlito" w:hAnsi="Carlito" w:eastAsia="Carlito"/>
                <w:sz w:val="18"/>
              </w:rPr>
              <w:t>Unidad no encontrada</w:t>
            </w:r>
          </w:p>
        </w:tc>
        <w:tc>
          <w:tcPr>
            <w:tcW w:type="dxa" w:w="5783"/>
            <w:vAlign w:val="center"/>
          </w:tcPr>
          <w:p>
            <w:r>
              <w:rPr>
                <w:rFonts w:ascii="Carlito" w:hAnsi="Carlito" w:eastAsia="Carlito"/>
                <w:sz w:val="18"/>
              </w:rPr>
              <w:t>Ruta no incluida en el proyecto o en las opciones de compilación.</w:t>
            </w:r>
          </w:p>
        </w:tc>
      </w:tr>
    </w:tbl>
    <w:p>
      <w:pPr>
        <w:spacing w:after="40"/>
      </w:pPr>
    </w:p>
    <w:p>
      <w:pPr>
        <w:pStyle w:val="Heading2"/>
        <w:keepNext/>
      </w:pPr>
      <w:r>
        <w:t>12.7 Información que debe recopilarse</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completo del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Acción exacta que lo provoca.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 .pas implicada.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Formulario .lfm correspondiente.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SQL final y valores de parámetros cuando exista consulta.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Captura de pantalla si es un problema visual.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Versión estable de referencia y revisión que falla.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Resultado de compilación con ruta y número de línea.</w:t>
            </w:r>
          </w:p>
        </w:tc>
      </w:tr>
    </w:tbl>
    <w:p>
      <w:pPr>
        <w:spacing w:after="40"/>
      </w:pPr>
    </w:p>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381"/>
            <w:shd w:fill="15586A"/>
            <w:vAlign w:val="center"/>
            <w:tcMar>
              <w:top w:w="80" w:type="dxa"/>
              <w:start w:w="100" w:type="dxa"/>
              <w:bottom w:w="80" w:type="dxa"/>
              <w:end w:w="100" w:type="dxa"/>
            </w:tcMar>
          </w:tcPr>
          <w:p>
            <w:r>
              <w:rPr>
                <w:b/>
                <w:color w:val="FFFFFF"/>
              </w:rPr>
              <w:t>Módulo</w:t>
            </w:r>
          </w:p>
        </w:tc>
        <w:tc>
          <w:tcPr>
            <w:tcW w:type="dxa" w:w="1984"/>
            <w:shd w:fill="15586A"/>
            <w:vAlign w:val="center"/>
            <w:tcMar>
              <w:top w:w="80" w:type="dxa"/>
              <w:start w:w="100" w:type="dxa"/>
              <w:bottom w:w="80" w:type="dxa"/>
              <w:end w:w="100" w:type="dxa"/>
            </w:tcMar>
          </w:tcPr>
          <w:p>
            <w:r>
              <w:rPr>
                <w:b/>
                <w:color w:val="FFFFFF"/>
              </w:rPr>
              <w:t>Atajo</w:t>
            </w:r>
          </w:p>
        </w:tc>
        <w:tc>
          <w:tcPr>
            <w:tcW w:type="dxa" w:w="4989"/>
            <w:shd w:fill="15586A"/>
            <w:vAlign w:val="center"/>
            <w:tcMar>
              <w:top w:w="80" w:type="dxa"/>
              <w:start w:w="100" w:type="dxa"/>
              <w:bottom w:w="80" w:type="dxa"/>
              <w:end w:w="100" w:type="dxa"/>
            </w:tcMar>
          </w:tcPr>
          <w:p>
            <w:r>
              <w:rPr>
                <w:b/>
                <w:color w:val="FFFFFF"/>
              </w:rPr>
              <w:t>Acción</w:t>
            </w:r>
          </w:p>
        </w:tc>
      </w:tr>
      <w:tr>
        <w:trPr>
          <w:cantSplit/>
        </w:trPr>
        <w:tc>
          <w:tcPr>
            <w:tcW w:type="dxa" w:w="2381"/>
            <w:vAlign w:val="center"/>
            <w:tcMar>
              <w:top w:w="80" w:type="dxa"/>
              <w:start w:w="100" w:type="dxa"/>
              <w:bottom w:w="80" w:type="dxa"/>
              <w:end w:w="100" w:type="dxa"/>
            </w:tcMar>
          </w:tcPr>
          <w:p>
            <w:r>
              <w:t>General</w:t>
            </w:r>
          </w:p>
        </w:tc>
        <w:tc>
          <w:tcPr>
            <w:tcW w:type="dxa" w:w="1984"/>
            <w:vAlign w:val="center"/>
            <w:tcMar>
              <w:top w:w="80" w:type="dxa"/>
              <w:start w:w="100" w:type="dxa"/>
              <w:bottom w:w="80" w:type="dxa"/>
              <w:end w:w="100" w:type="dxa"/>
            </w:tcMar>
          </w:tcPr>
          <w:p>
            <w:r>
              <w:t>ESC</w:t>
            </w:r>
          </w:p>
        </w:tc>
        <w:tc>
          <w:tcPr>
            <w:tcW w:type="dxa" w:w="4989"/>
            <w:vAlign w:val="center"/>
            <w:tcMar>
              <w:top w:w="80" w:type="dxa"/>
              <w:start w:w="100" w:type="dxa"/>
              <w:bottom w:w="80" w:type="dxa"/>
              <w:end w:w="100" w:type="dxa"/>
            </w:tcMar>
          </w:tcPr>
          <w:p>
            <w:r>
              <w:t>Cerrar página principal o cancelar primero el elemento auxiliar.</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O</w:t>
            </w:r>
          </w:p>
        </w:tc>
        <w:tc>
          <w:tcPr>
            <w:tcW w:type="dxa" w:w="4989"/>
            <w:shd w:fill="EEF5F7"/>
            <w:vAlign w:val="center"/>
            <w:tcMar>
              <w:top w:w="80" w:type="dxa"/>
              <w:start w:w="100" w:type="dxa"/>
              <w:bottom w:w="80" w:type="dxa"/>
              <w:end w:w="100" w:type="dxa"/>
            </w:tcMar>
          </w:tcPr>
          <w:p>
            <w:r>
              <w:t>Código de cliente.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Ctrl + U</w:t>
            </w:r>
          </w:p>
        </w:tc>
        <w:tc>
          <w:tcPr>
            <w:tcW w:type="dxa" w:w="4989"/>
            <w:vAlign w:val="center"/>
            <w:tcMar>
              <w:top w:w="80" w:type="dxa"/>
              <w:start w:w="100" w:type="dxa"/>
              <w:bottom w:w="80" w:type="dxa"/>
              <w:end w:w="100" w:type="dxa"/>
            </w:tcMar>
          </w:tcPr>
          <w:p>
            <w:r>
              <w:t>Nombre o búsqueda de cliente.</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N</w:t>
            </w:r>
          </w:p>
        </w:tc>
        <w:tc>
          <w:tcPr>
            <w:tcW w:type="dxa" w:w="4989"/>
            <w:shd w:fill="EEF5F7"/>
            <w:vAlign w:val="center"/>
            <w:tcMar>
              <w:top w:w="80" w:type="dxa"/>
              <w:start w:w="100" w:type="dxa"/>
              <w:bottom w:w="80" w:type="dxa"/>
              <w:end w:w="100" w:type="dxa"/>
            </w:tcMar>
          </w:tcPr>
          <w:p>
            <w:r>
              <w:t>Aceptar línea / función asociada según la revisión estable.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F1</w:t>
            </w:r>
          </w:p>
        </w:tc>
        <w:tc>
          <w:tcPr>
            <w:tcW w:type="dxa" w:w="4989"/>
            <w:vAlign w:val="center"/>
            <w:tcMar>
              <w:top w:w="80" w:type="dxa"/>
              <w:start w:w="100" w:type="dxa"/>
              <w:bottom w:w="80" w:type="dxa"/>
              <w:end w:w="100" w:type="dxa"/>
            </w:tcMar>
          </w:tcPr>
          <w:p>
            <w:r>
              <w:t>Primera venta aparcada.</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F2</w:t>
            </w:r>
          </w:p>
        </w:tc>
        <w:tc>
          <w:tcPr>
            <w:tcW w:type="dxa" w:w="4989"/>
            <w:shd w:fill="EEF5F7"/>
            <w:vAlign w:val="center"/>
            <w:tcMar>
              <w:top w:w="80" w:type="dxa"/>
              <w:start w:w="100" w:type="dxa"/>
              <w:bottom w:w="80" w:type="dxa"/>
              <w:end w:w="100" w:type="dxa"/>
            </w:tcMar>
          </w:tcPr>
          <w:p>
            <w:r>
              <w:t>Segunda venta aparcada.</w:t>
            </w:r>
          </w:p>
        </w:tc>
      </w:tr>
      <w:tr>
        <w:trPr>
          <w:cantSplit/>
        </w:trPr>
        <w:tc>
          <w:tcPr>
            <w:tcW w:type="dxa" w:w="3286"/>
            <w:tcMar>
              <w:top w:w="80" w:type="dxa"/>
              <w:start w:w="100" w:type="dxa"/>
              <w:bottom w:w="80" w:type="dxa"/>
              <w:end w:w="100" w:type="dxa"/>
            </w:tcMar>
          </w:tcPr>
          <w:p>
            <w:r>
              <w:t>Ventas</w:t>
            </w:r>
          </w:p>
        </w:tc>
        <w:tc>
          <w:tcPr>
            <w:tcW w:type="dxa" w:w="3286"/>
            <w:tcMar>
              <w:top w:w="80" w:type="dxa"/>
              <w:start w:w="100" w:type="dxa"/>
              <w:bottom w:w="80" w:type="dxa"/>
              <w:end w:w="100" w:type="dxa"/>
            </w:tcMar>
          </w:tcPr>
          <w:p>
            <w:r>
              <w:t>F3</w:t>
            </w:r>
          </w:p>
        </w:tc>
        <w:tc>
          <w:tcPr>
            <w:tcW w:type="dxa" w:w="3286"/>
            <w:tcMar>
              <w:top w:w="80" w:type="dxa"/>
              <w:start w:w="100" w:type="dxa"/>
              <w:bottom w:w="80" w:type="dxa"/>
              <w:end w:w="100" w:type="dxa"/>
            </w:tcMar>
          </w:tcPr>
          <w:p>
            <w:r>
              <w:t>Tercera venta aparcada.</w:t>
            </w:r>
          </w:p>
        </w:tc>
      </w:tr>
      <w:tr>
        <w:trPr>
          <w:cantSplit/>
        </w:trPr>
        <w:tc>
          <w:tcPr>
            <w:tcW w:type="dxa" w:w="3286"/>
            <w:tcMar>
              <w:top w:w="80" w:type="dxa"/>
              <w:start w:w="100" w:type="dxa"/>
              <w:bottom w:w="80" w:type="dxa"/>
              <w:end w:w="100" w:type="dxa"/>
            </w:tcMar>
            <w:shd w:fill="EEF5F7"/>
          </w:tcPr>
          <w:p>
            <w:r>
              <w:t>Ventas</w:t>
            </w:r>
          </w:p>
        </w:tc>
        <w:tc>
          <w:tcPr>
            <w:tcW w:type="dxa" w:w="3286"/>
            <w:tcMar>
              <w:top w:w="80" w:type="dxa"/>
              <w:start w:w="100" w:type="dxa"/>
              <w:bottom w:w="80" w:type="dxa"/>
              <w:end w:w="100" w:type="dxa"/>
            </w:tcMar>
            <w:shd w:fill="EEF5F7"/>
          </w:tcPr>
          <w:p>
            <w:r>
              <w:t>F4</w:t>
            </w:r>
          </w:p>
        </w:tc>
        <w:tc>
          <w:tcPr>
            <w:tcW w:type="dxa" w:w="3286"/>
            <w:tcMar>
              <w:top w:w="80" w:type="dxa"/>
              <w:start w:w="100" w:type="dxa"/>
              <w:bottom w:w="80" w:type="dxa"/>
              <w:end w:w="100" w:type="dxa"/>
            </w:tcMar>
            <w:shd w:fill="EEF5F7"/>
          </w:tcPr>
          <w:p>
            <w:r>
              <w:t>Cuarta venta aparcada.</w:t>
            </w:r>
          </w:p>
        </w:tc>
      </w:tr>
      <w:tr>
        <w:trPr>
          <w:cantSplit/>
        </w:trPr>
        <w:tc>
          <w:tcPr>
            <w:tcW w:type="dxa" w:w="3286"/>
            <w:tcMar>
              <w:top w:w="80" w:type="dxa"/>
              <w:start w:w="100" w:type="dxa"/>
              <w:bottom w:w="80" w:type="dxa"/>
              <w:end w:w="100" w:type="dxa"/>
            </w:tcMar>
          </w:tcPr>
          <w:p>
            <w:r>
              <w:t>Formularios</w:t>
            </w:r>
          </w:p>
        </w:tc>
        <w:tc>
          <w:tcPr>
            <w:tcW w:type="dxa" w:w="3286"/>
            <w:tcMar>
              <w:top w:w="80" w:type="dxa"/>
              <w:start w:w="100" w:type="dxa"/>
              <w:bottom w:w="80" w:type="dxa"/>
              <w:end w:w="100" w:type="dxa"/>
            </w:tcMar>
          </w:tcPr>
          <w:p>
            <w:r>
              <w:t>TAB / Mayús+TAB</w:t>
            </w:r>
          </w:p>
        </w:tc>
        <w:tc>
          <w:tcPr>
            <w:tcW w:type="dxa" w:w="3286"/>
            <w:tcMar>
              <w:top w:w="80" w:type="dxa"/>
              <w:start w:w="100" w:type="dxa"/>
              <w:bottom w:w="80" w:type="dxa"/>
              <w:end w:w="100" w:type="dxa"/>
            </w:tcMar>
          </w:tcPr>
          <w:p>
            <w:r>
              <w:t>Avanzar o retroceder por el orden de tabulación.</w:t>
            </w:r>
          </w:p>
        </w:tc>
      </w:tr>
      <w:tr>
        <w:trPr>
          <w:cantSplit/>
        </w:trPr>
        <w:tc>
          <w:tcPr>
            <w:tcW w:type="dxa" w:w="3286"/>
            <w:tcMar>
              <w:top w:w="80" w:type="dxa"/>
              <w:start w:w="100" w:type="dxa"/>
              <w:bottom w:w="80" w:type="dxa"/>
              <w:end w:w="100" w:type="dxa"/>
            </w:tcMar>
            <w:shd w:fill="EEF5F7"/>
          </w:tcPr>
          <w:p>
            <w:r>
              <w:t>LibreOffice</w:t>
            </w:r>
          </w:p>
        </w:tc>
        <w:tc>
          <w:tcPr>
            <w:tcW w:type="dxa" w:w="3286"/>
            <w:tcMar>
              <w:top w:w="80" w:type="dxa"/>
              <w:start w:w="100" w:type="dxa"/>
              <w:bottom w:w="80" w:type="dxa"/>
              <w:end w:w="100" w:type="dxa"/>
            </w:tcMar>
            <w:shd w:fill="EEF5F7"/>
          </w:tcPr>
          <w:p>
            <w:r>
              <w:t>F5</w:t>
            </w:r>
          </w:p>
        </w:tc>
        <w:tc>
          <w:tcPr>
            <w:tcW w:type="dxa" w:w="3286"/>
            <w:tcMar>
              <w:top w:w="80" w:type="dxa"/>
              <w:start w:w="100" w:type="dxa"/>
              <w:bottom w:w="80" w:type="dxa"/>
              <w:end w:w="100" w:type="dxa"/>
            </w:tcMar>
            <w:shd w:fill="EEF5F7"/>
          </w:tcPr>
          <w:p>
            <w: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t>La edición v0.6 mantiene Menú, Configuración, Clientes y Ventas actualizados e incorpora el capítulo de Artículos ilustrado. Las próximas revisiones desarrollarán Caja y Créditos, Compras y Pedidos, Facturación, VeriFactu y Dashboard. Al finalizar todos los capítulos se realizará una auditoría visual completa para confirmar que cada leyenda numerada conserva su cuadro y su número sobre la imagen, con revisión especial del capítulo de Ventas.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t>Fin de la edición v0.6 - Artículos ilustrado</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r>
            <w:t>Edición v0.6 - Artículos ilustrado - 25/07/2026</w:t>
          </w:r>
        </w:p>
      </w:tc>
      <w:tc>
        <w:tcPr>
          <w:tcW w:type="dxa" w:w="4677"/>
          <w:tcBorders>
            <w:top w:val="single" w:sz="4" w:color="B4C6E7"/>
          </w:tcBorders>
        </w:tcPr>
        <w:p>
          <w:pPr>
            <w:jc w:val="right"/>
          </w:pPr>
          <w:r>
            <w:rPr>
              <w:rFonts w:ascii="Carlito" w:hAnsi="Carlito" w:eastAsia="Carlito"/>
              <w:color w:val="666666"/>
              <w:sz w:val="18"/>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y configuración de FacturLinEx v0.4</dc:title>
  <dc:subject>Edición ilustrada de Configuración general</dc:subject>
  <dc:creator>FacturLinEx</dc:creator>
  <cp:keywords>FacturLinEx, manual, configuración, ventas, MariaDB, VeriFactu</cp:keywords>
  <dc:description>Documento vivo. Edición v0.4.</dc:description>
  <cp:lastModifiedBy/>
  <cp:revision>1</cp:revision>
  <dcterms:created xsi:type="dcterms:W3CDTF">2013-12-23T23:15:00Z</dcterms:created>
  <dcterms:modified xsi:type="dcterms:W3CDTF">2013-12-23T23:15:00Z</dcterms:modified>
  <cp:category/>
</cp:coreProperties>
</file>