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t>EDICIÓN v0.3.1</w:t>
      </w:r>
    </w:p>
    <w:p>
      <w:pPr>
        <w:jc w:val="center"/>
      </w:pPr>
      <w:r>
        <w:t>Edición correctiva - Menú moderno y Ventas actualizadas</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provisionales que todavía pueden evolucionar. La edición v0.3.1 corrige los capítulos del Menú principal y Ventas: sustituye la referencia visual del menú antiguo, incorpora el acceso directo Históricos, simplifica la explicación de totalización y cobro, y documenta F1-F4 para las cuatro primeras ventas aparcadas.</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bookmarkStart w:id="4" w:name="cap2"/>
      <w:pPr>
        <w:pStyle w:val="Heading1"/>
        <w:keepNext/>
      </w:pPr>
      <w:r>
        <w:t>2. Configuración inicial</w:t>
      </w:r>
      <w:bookmarkEnd w:id="4"/>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Estructura funcional basada en la configuración modernizada v9. Las rutas y valores concretos deben adaptarse a cada instalación.</w:t>
            </w:r>
          </w:p>
        </w:tc>
      </w:tr>
    </w:tbl>
    <w:p>
      <w:pPr>
        <w:spacing w:after="20"/>
      </w:pPr>
    </w:p>
    <w:p>
      <w:pPr>
        <w:pStyle w:val="Heading2"/>
        <w:keepNext/>
      </w:pPr>
      <w:r>
        <w:t>2.1 Orden recomendado de configuración</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la conexión con la base de datos principal.</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Configurar empresa, tienda y puesto.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Revisar series, numeraciones y tipos de documento.</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Configurar impresoras, plantillas y generación de PDF.</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Configurar el correo electrónico y realizar una prueba de envío.</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Revisar IVA, entorno de producción y opciones de VeriFactu.</w:t>
      </w:r>
    </w:p>
    <w:p>
      <w:pPr>
        <w:pStyle w:val="BodyText"/>
        <w:spacing w:after="40" w:line="240" w:lineRule="auto"/>
        <w:ind w:left="312" w:hanging="312"/>
      </w:pPr>
      <w:r>
        <w:rPr>
          <w:rFonts w:ascii="Carlito" w:hAnsi="Carlito" w:eastAsia="Carlito"/>
          <w:b/>
          <w:color w:val="17365D"/>
          <w:sz w:val="20"/>
        </w:rPr>
        <w:t xml:space="preserve">7.  </w:t>
      </w:r>
      <w:r>
        <w:rPr>
          <w:rFonts w:ascii="Carlito" w:hAnsi="Carlito" w:eastAsia="Carlito"/>
          <w:sz w:val="20"/>
        </w:rPr>
        <w:t>Configurar rutas de informes, recursos, iconos y copias de seguridad.</w:t>
      </w:r>
    </w:p>
    <w:p>
      <w:pPr>
        <w:pStyle w:val="BodyText"/>
        <w:spacing w:after="40" w:line="240" w:lineRule="auto"/>
        <w:ind w:left="312" w:hanging="312"/>
      </w:pPr>
      <w:r>
        <w:rPr>
          <w:rFonts w:ascii="Carlito" w:hAnsi="Carlito" w:eastAsia="Carlito"/>
          <w:b/>
          <w:color w:val="17365D"/>
          <w:sz w:val="20"/>
        </w:rPr>
        <w:t xml:space="preserve">8.  </w:t>
      </w:r>
      <w:r>
        <w:rPr>
          <w:rFonts w:ascii="Carlito" w:hAnsi="Carlito" w:eastAsia="Carlito"/>
          <w:sz w:val="20"/>
        </w:rPr>
        <w:t>Crear o revisar usuarios, permisos y formas de pago.</w:t>
      </w:r>
    </w:p>
    <w:p>
      <w:pPr>
        <w:pStyle w:val="BodyText"/>
        <w:spacing w:after="40" w:line="240" w:lineRule="auto"/>
        <w:ind w:left="312" w:hanging="312"/>
      </w:pPr>
      <w:r>
        <w:rPr>
          <w:rFonts w:ascii="Carlito" w:hAnsi="Carlito" w:eastAsia="Carlito"/>
          <w:b/>
          <w:color w:val="17365D"/>
          <w:sz w:val="20"/>
        </w:rPr>
        <w:t xml:space="preserve">9.  </w:t>
      </w:r>
      <w:r>
        <w:rPr>
          <w:rFonts w:ascii="Carlito" w:hAnsi="Carlito" w:eastAsia="Carlito"/>
          <w:sz w:val="20"/>
        </w:rPr>
        <w:t>Realizar una copia de seguridad y una venta completa de prueba.</w:t>
      </w:r>
    </w:p>
    <w:p>
      <w:pPr>
        <w:pStyle w:val="Heading2"/>
        <w:keepNext/>
      </w:pPr>
      <w:r>
        <w:t>2.2 Conexión con MariaDB</w:t>
      </w:r>
    </w:p>
    <w:p>
      <w:pPr>
        <w:pStyle w:val="BodyText"/>
        <w:keepLines w:val="0"/>
        <w:spacing w:after="100" w:line="259" w:lineRule="auto"/>
        <w:ind w:left="0"/>
      </w:pPr>
      <w:r>
        <w:rPr>
          <w:rFonts w:ascii="Carlito" w:hAnsi="Carlito" w:eastAsia="Carlito"/>
          <w:i w:val="0"/>
          <w:sz w:val="21"/>
        </w:rPr>
        <w:t>La configuración de conexión debe identificar correctamente el servidor, puerto, base de datos, usuario, contraseña y juego de caracteres. La pantalla de Configuración dispone de botones de prueba para la base principal y para el sistema de información común.</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servidor responde desde el equipo donde se ejecuta FacturLinEx.</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base de datos indicada existe.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usuario dispone de los permisos necesarios.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juego de caracteres es compatible con los datos existentes.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prueba de conexión finaliza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cambiar charset, collation o motor de tablas en producción sin copia previa y sin comprobar las tablas afectadas. Las mezclas de collations pueden provocar errores en consultas JOIN.</w:t>
            </w:r>
          </w:p>
        </w:tc>
      </w:tr>
    </w:tbl>
    <w:p>
      <w:pPr>
        <w:spacing w:after="20"/>
      </w:pPr>
    </w:p>
    <w:p>
      <w:pPr>
        <w:pStyle w:val="Heading2"/>
        <w:keepNext/>
      </w:pPr>
      <w:r>
        <w:t>2.3 Empresa, tienda y puesto</w:t>
      </w:r>
    </w:p>
    <w:p>
      <w:pPr>
        <w:pStyle w:val="BodyText"/>
        <w:keepLines w:val="0"/>
        <w:spacing w:after="100" w:line="259" w:lineRule="auto"/>
        <w:ind w:left="0"/>
      </w:pPr>
      <w:r>
        <w:rPr>
          <w:rFonts w:ascii="Carlito" w:hAnsi="Carlito" w:eastAsia="Carlito"/>
          <w:i w:val="0"/>
          <w:sz w:val="21"/>
        </w:rPr>
        <w:t>Los datos de empresa se utilizan en documentos, informes y comunicaciones. La tienda determina el conjunto de tablas y configuraciones sobre el que se trabaja. El puesto identifica la terminal de venta y puede aparecer en registros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Elemento</w:t>
            </w:r>
          </w:p>
        </w:tc>
        <w:tc>
          <w:tcPr>
            <w:tcW w:type="dxa" w:w="7313"/>
            <w:shd w:fill="1F4E78"/>
            <w:vAlign w:val="center"/>
          </w:tcPr>
          <w:p>
            <w:r>
              <w:rPr>
                <w:rFonts w:ascii="Carlito" w:hAnsi="Carlito" w:eastAsia="Carlito"/>
                <w:b/>
                <w:color w:val="FFFFFF"/>
                <w:sz w:val="18"/>
              </w:rPr>
              <w:t>Comprobaciones</w:t>
            </w:r>
          </w:p>
        </w:tc>
      </w:tr>
      <w:tr>
        <w:trPr>
          <w:cantSplit/>
        </w:trPr>
        <w:tc>
          <w:tcPr>
            <w:tcW w:type="dxa" w:w="2041"/>
            <w:vAlign w:val="center"/>
          </w:tcPr>
          <w:p>
            <w:r>
              <w:rPr>
                <w:rFonts w:ascii="Carlito" w:hAnsi="Carlito" w:eastAsia="Carlito"/>
                <w:sz w:val="18"/>
              </w:rPr>
              <w:t>Empresa</w:t>
            </w:r>
          </w:p>
        </w:tc>
        <w:tc>
          <w:tcPr>
            <w:tcW w:type="dxa" w:w="7313"/>
            <w:vAlign w:val="center"/>
          </w:tcPr>
          <w:p>
            <w:r>
              <w:rPr>
                <w:rFonts w:ascii="Carlito" w:hAnsi="Carlito" w:eastAsia="Carlito"/>
                <w:sz w:val="18"/>
              </w:rPr>
              <w:t>Razón social, NIF, dirección, datos de contacto y datos fiscales.</w:t>
            </w:r>
          </w:p>
        </w:tc>
      </w:tr>
      <w:tr>
        <w:trPr>
          <w:cantSplit/>
        </w:trPr>
        <w:tc>
          <w:tcPr>
            <w:tcW w:type="dxa" w:w="2041"/>
            <w:shd w:fill="F2F2F2"/>
            <w:vAlign w:val="center"/>
          </w:tcPr>
          <w:p>
            <w:r>
              <w:rPr>
                <w:rFonts w:ascii="Carlito" w:hAnsi="Carlito" w:eastAsia="Carlito"/>
                <w:sz w:val="18"/>
              </w:rPr>
              <w:t>Tienda</w:t>
            </w:r>
          </w:p>
        </w:tc>
        <w:tc>
          <w:tcPr>
            <w:tcW w:type="dxa" w:w="7313"/>
            <w:shd w:fill="F2F2F2"/>
            <w:vAlign w:val="center"/>
          </w:tcPr>
          <w:p>
            <w:r>
              <w:rPr>
                <w:rFonts w:ascii="Carlito" w:hAnsi="Carlito" w:eastAsia="Carlito"/>
                <w:sz w:val="18"/>
              </w:rPr>
              <w:t>Código, descripción, rutas y correspondencia con las tablas de la instalación.</w:t>
            </w:r>
          </w:p>
        </w:tc>
      </w:tr>
      <w:tr>
        <w:trPr>
          <w:cantSplit/>
        </w:trPr>
        <w:tc>
          <w:tcPr>
            <w:tcW w:type="dxa" w:w="2041"/>
            <w:vAlign w:val="center"/>
          </w:tcPr>
          <w:p>
            <w:r>
              <w:rPr>
                <w:rFonts w:ascii="Carlito" w:hAnsi="Carlito" w:eastAsia="Carlito"/>
                <w:sz w:val="18"/>
              </w:rPr>
              <w:t>Puesto</w:t>
            </w:r>
          </w:p>
        </w:tc>
        <w:tc>
          <w:tcPr>
            <w:tcW w:type="dxa" w:w="7313"/>
            <w:vAlign w:val="center"/>
          </w:tcPr>
          <w:p>
            <w:r>
              <w:rPr>
                <w:rFonts w:ascii="Carlito" w:hAnsi="Carlito" w:eastAsia="Carlito"/>
                <w:sz w:val="18"/>
              </w:rPr>
              <w:t>Letra o identificador visible en Ventas y coherente con el registro histórico.</w:t>
            </w:r>
          </w:p>
        </w:tc>
      </w:tr>
      <w:tr>
        <w:trPr>
          <w:cantSplit/>
        </w:trPr>
        <w:tc>
          <w:tcPr>
            <w:tcW w:type="dxa" w:w="2041"/>
            <w:shd w:fill="F2F2F2"/>
            <w:vAlign w:val="center"/>
          </w:tcPr>
          <w:p>
            <w:r>
              <w:rPr>
                <w:rFonts w:ascii="Carlito" w:hAnsi="Carlito" w:eastAsia="Carlito"/>
                <w:sz w:val="18"/>
              </w:rPr>
              <w:t>Usuario</w:t>
            </w:r>
          </w:p>
        </w:tc>
        <w:tc>
          <w:tcPr>
            <w:tcW w:type="dxa" w:w="7313"/>
            <w:shd w:fill="F2F2F2"/>
            <w:vAlign w:val="center"/>
          </w:tcPr>
          <w:p>
            <w:r>
              <w:rPr>
                <w:rFonts w:ascii="Carlito" w:hAnsi="Carlito" w:eastAsia="Carlito"/>
                <w:sz w:val="18"/>
              </w:rPr>
              <w:t>Nombre, credenciales, permisos y asociación correcta a las operaciones.</w:t>
            </w:r>
          </w:p>
        </w:tc>
      </w:tr>
    </w:tbl>
    <w:p>
      <w:pPr>
        <w:spacing w:after="40"/>
      </w:pPr>
    </w:p>
    <w:p>
      <w:pPr>
        <w:pStyle w:val="Heading2"/>
        <w:keepNext/>
      </w:pPr>
      <w:r>
        <w:t>2.4 Series y numeraciones</w:t>
      </w:r>
    </w:p>
    <w:p>
      <w:pPr>
        <w:pStyle w:val="BodyText"/>
        <w:keepLines w:val="0"/>
        <w:spacing w:after="100" w:line="259" w:lineRule="auto"/>
        <w:ind w:left="0"/>
      </w:pPr>
      <w:r>
        <w:rPr>
          <w:rFonts w:ascii="Carlito" w:hAnsi="Carlito" w:eastAsia="Carlito"/>
          <w:i w:val="0"/>
          <w:sz w:val="21"/>
        </w:rPr>
        <w:t>Cada tipo de documento utiliza series y contadores. Las series permiten separar tiendas, ejercicios, documentos simplificados, rectificativas y otros circuitos.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F4E78"/>
            <w:vAlign w:val="center"/>
          </w:tcPr>
          <w:p>
            <w:r>
              <w:rPr>
                <w:rFonts w:ascii="Carlito" w:hAnsi="Carlito" w:eastAsia="Carlito"/>
                <w:b/>
                <w:color w:val="FFFFFF"/>
                <w:sz w:val="18"/>
              </w:rPr>
              <w:t>Tipo</w:t>
            </w:r>
          </w:p>
        </w:tc>
        <w:tc>
          <w:tcPr>
            <w:tcW w:type="dxa" w:w="2268"/>
            <w:shd w:fill="1F4E78"/>
            <w:vAlign w:val="center"/>
          </w:tcPr>
          <w:p>
            <w:r>
              <w:rPr>
                <w:rFonts w:ascii="Carlito" w:hAnsi="Carlito" w:eastAsia="Carlito"/>
                <w:b/>
                <w:color w:val="FFFFFF"/>
                <w:sz w:val="18"/>
              </w:rPr>
              <w:t>Ejemplos habituales</w:t>
            </w:r>
          </w:p>
        </w:tc>
        <w:tc>
          <w:tcPr>
            <w:tcW w:type="dxa" w:w="4706"/>
            <w:shd w:fill="1F4E78"/>
            <w:vAlign w:val="center"/>
          </w:tcPr>
          <w:p>
            <w:r>
              <w:rPr>
                <w:rFonts w:ascii="Carlito" w:hAnsi="Carlito" w:eastAsia="Carlito"/>
                <w:b/>
                <w:color w:val="FFFFFF"/>
                <w:sz w:val="18"/>
              </w:rPr>
              <w:t>Uso</w:t>
            </w:r>
          </w:p>
        </w:tc>
      </w:tr>
      <w:tr>
        <w:trPr>
          <w:cantSplit/>
        </w:trPr>
        <w:tc>
          <w:tcPr>
            <w:tcW w:type="dxa" w:w="2381"/>
            <w:vAlign w:val="center"/>
          </w:tcPr>
          <w:p>
            <w:r>
              <w:rPr>
                <w:rFonts w:ascii="Carlito" w:hAnsi="Carlito" w:eastAsia="Carlito"/>
                <w:sz w:val="18"/>
              </w:rPr>
              <w:t>Normal</w:t>
            </w:r>
          </w:p>
        </w:tc>
        <w:tc>
          <w:tcPr>
            <w:tcW w:type="dxa" w:w="2268"/>
            <w:vAlign w:val="center"/>
          </w:tcPr>
          <w:p>
            <w:r>
              <w:rPr>
                <w:rFonts w:ascii="Carlito" w:hAnsi="Carlito" w:eastAsia="Carlito"/>
                <w:sz w:val="18"/>
              </w:rPr>
              <w:t>A26, B26...</w:t>
            </w:r>
          </w:p>
        </w:tc>
        <w:tc>
          <w:tcPr>
            <w:tcW w:type="dxa" w:w="4706"/>
            <w:vAlign w:val="center"/>
          </w:tcPr>
          <w:p>
            <w:r>
              <w:rPr>
                <w:rFonts w:ascii="Carlito" w:hAnsi="Carlito" w:eastAsia="Carlito"/>
                <w:sz w:val="18"/>
              </w:rPr>
              <w:t>Facturas o documentos completos.</w:t>
            </w:r>
          </w:p>
        </w:tc>
      </w:tr>
      <w:tr>
        <w:trPr>
          <w:cantSplit/>
        </w:trPr>
        <w:tc>
          <w:tcPr>
            <w:tcW w:type="dxa" w:w="2381"/>
            <w:shd w:fill="F2F2F2"/>
            <w:vAlign w:val="center"/>
          </w:tcPr>
          <w:p>
            <w:r>
              <w:rPr>
                <w:rFonts w:ascii="Carlito" w:hAnsi="Carlito" w:eastAsia="Carlito"/>
                <w:sz w:val="18"/>
              </w:rPr>
              <w:t>Simplificada</w:t>
            </w:r>
          </w:p>
        </w:tc>
        <w:tc>
          <w:tcPr>
            <w:tcW w:type="dxa" w:w="2268"/>
            <w:shd w:fill="F2F2F2"/>
            <w:vAlign w:val="center"/>
          </w:tcPr>
          <w:p>
            <w:r>
              <w:rPr>
                <w:rFonts w:ascii="Carlito" w:hAnsi="Carlito" w:eastAsia="Carlito"/>
                <w:sz w:val="18"/>
              </w:rPr>
              <w:t>FS-A26</w:t>
            </w:r>
          </w:p>
        </w:tc>
        <w:tc>
          <w:tcPr>
            <w:tcW w:type="dxa" w:w="4706"/>
            <w:shd w:fill="F2F2F2"/>
            <w:vAlign w:val="center"/>
          </w:tcPr>
          <w:p>
            <w:r>
              <w:rPr>
                <w:rFonts w:ascii="Carlito" w:hAnsi="Carlito" w:eastAsia="Carlito"/>
                <w:sz w:val="18"/>
              </w:rPr>
              <w:t>Facturas simplificadas o tickets fiscales.</w:t>
            </w:r>
          </w:p>
        </w:tc>
      </w:tr>
      <w:tr>
        <w:trPr>
          <w:cantSplit/>
        </w:trPr>
        <w:tc>
          <w:tcPr>
            <w:tcW w:type="dxa" w:w="2381"/>
            <w:vAlign w:val="center"/>
          </w:tcPr>
          <w:p>
            <w:r>
              <w:rPr>
                <w:rFonts w:ascii="Carlito" w:hAnsi="Carlito" w:eastAsia="Carlito"/>
                <w:sz w:val="18"/>
              </w:rPr>
              <w:t>Rectificativa normal</w:t>
            </w:r>
          </w:p>
        </w:tc>
        <w:tc>
          <w:tcPr>
            <w:tcW w:type="dxa" w:w="2268"/>
            <w:vAlign w:val="center"/>
          </w:tcPr>
          <w:p>
            <w:r>
              <w:rPr>
                <w:rFonts w:ascii="Carlito" w:hAnsi="Carlito" w:eastAsia="Carlito"/>
                <w:sz w:val="18"/>
              </w:rPr>
              <w:t>R26</w:t>
            </w:r>
          </w:p>
        </w:tc>
        <w:tc>
          <w:tcPr>
            <w:tcW w:type="dxa" w:w="4706"/>
            <w:vAlign w:val="center"/>
          </w:tcPr>
          <w:p>
            <w:r>
              <w:rPr>
                <w:rFonts w:ascii="Carlito" w:hAnsi="Carlito" w:eastAsia="Carlito"/>
                <w:sz w:val="18"/>
              </w:rPr>
              <w:t>Corrección de factura normal.</w:t>
            </w:r>
          </w:p>
        </w:tc>
      </w:tr>
      <w:tr>
        <w:trPr>
          <w:cantSplit/>
        </w:trPr>
        <w:tc>
          <w:tcPr>
            <w:tcW w:type="dxa" w:w="2381"/>
            <w:shd w:fill="F2F2F2"/>
            <w:vAlign w:val="center"/>
          </w:tcPr>
          <w:p>
            <w:r>
              <w:rPr>
                <w:rFonts w:ascii="Carlito" w:hAnsi="Carlito" w:eastAsia="Carlito"/>
                <w:sz w:val="18"/>
              </w:rPr>
              <w:t>Rectificativa simplificada</w:t>
            </w:r>
          </w:p>
        </w:tc>
        <w:tc>
          <w:tcPr>
            <w:tcW w:type="dxa" w:w="2268"/>
            <w:shd w:fill="F2F2F2"/>
            <w:vAlign w:val="center"/>
          </w:tcPr>
          <w:p>
            <w:r>
              <w:rPr>
                <w:rFonts w:ascii="Carlito" w:hAnsi="Carlito" w:eastAsia="Carlito"/>
                <w:sz w:val="18"/>
              </w:rPr>
              <w:t>FS-R26</w:t>
            </w:r>
          </w:p>
        </w:tc>
        <w:tc>
          <w:tcPr>
            <w:tcW w:type="dxa" w:w="4706"/>
            <w:shd w:fill="F2F2F2"/>
            <w:vAlign w:val="center"/>
          </w:tcPr>
          <w:p>
            <w:r>
              <w:rPr>
                <w:rFonts w:ascii="Carlito" w:hAnsi="Carlito" w:eastAsia="Carlito"/>
                <w:sz w:val="18"/>
              </w:rPr>
              <w:t>Corrección de factura simplificada.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reiniciar ni alterar manualmente una numeración que ya haya generado documentos fiscales sin analizar sus consecuencias. Puede producir duplicidades, huecos incoherentes o problemas de trazabilidad.</w:t>
            </w:r>
          </w:p>
        </w:tc>
      </w:tr>
    </w:tbl>
    <w:p>
      <w:pPr>
        <w:spacing w:after="20"/>
      </w:pPr>
    </w:p>
    <w:p>
      <w:pPr>
        <w:pStyle w:val="Heading2"/>
        <w:keepNext/>
      </w:pPr>
      <w:r>
        <w:t>2.5 Impresión, PDF y correo</w:t>
      </w:r>
    </w:p>
    <w:p>
      <w:pPr>
        <w:pStyle w:val="BodyText"/>
        <w:keepLines w:val="0"/>
        <w:spacing w:after="100" w:line="259" w:lineRule="auto"/>
        <w:ind w:left="0"/>
      </w:pPr>
      <w:r>
        <w:rPr>
          <w:rFonts w:ascii="Carlito" w:hAnsi="Carlito" w:eastAsia="Carlito"/>
          <w:i w:val="0"/>
          <w:sz w:val="21"/>
        </w:rPr>
        <w:t>FacturLinEx puede imprimir tickets e informes, generar documentos PDF y enviarlos por correo. Deben revisarse las impresoras, plantillas, rutas de salida y credenciales de correo.</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Impresora de tickets seleccionada y probada.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Impresora de informes o facturas seleccionada.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Plantillas .lrf localizadas y compatibles con los campos utilizados.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Ruta de PDF con permisos de escritura.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Servidor SMTP, puerto, seguridad, usuario y remitente configurados.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envío realizada y mensaje informativo visible por encima de otros controles.</w:t>
            </w:r>
          </w:p>
        </w:tc>
      </w:tr>
    </w:tbl>
    <w:p>
      <w:pPr>
        <w:spacing w:after="40"/>
      </w:pPr>
    </w:p>
    <w:p>
      <w:pPr>
        <w:pStyle w:val="Heading2"/>
        <w:keepNext/>
      </w:pPr>
      <w:r>
        <w:t>2.6 VeriFactu</w:t>
      </w:r>
    </w:p>
    <w:p>
      <w:pPr>
        <w:pStyle w:val="BodyText"/>
        <w:keepLines w:val="0"/>
        <w:spacing w:after="100" w:line="259" w:lineRule="auto"/>
        <w:ind w:left="0"/>
      </w:pPr>
      <w:r>
        <w:rPr>
          <w:rFonts w:ascii="Carlito" w:hAnsi="Carlito" w:eastAsia="Carlito"/>
          <w:i w:val="0"/>
          <w:sz w:val="21"/>
        </w:rPr>
        <w:t>Antes de activar el entorno de producción, deben revisarse los datos de empresa, las series, la generación de fechas y horas, el encadenamiento de registros y la configuración de envío. Los estados y errores se consultan en el monitor de la cola.</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PRODUCCIÓN: </w:t>
            </w:r>
            <w:r>
              <w:rPr>
                <w:rFonts w:ascii="Carlito" w:hAnsi="Carlito" w:eastAsia="Carlito"/>
                <w:color w:val="000000"/>
                <w:sz w:val="19"/>
              </w:rPr>
              <w:t>La indicación Sistema en producción debe ser visible y destacada. No activar el entorno real hasta completar pruebas controladas.</w:t>
            </w:r>
          </w:p>
        </w:tc>
      </w:tr>
    </w:tbl>
    <w:p>
      <w:pPr>
        <w:spacing w:after="20"/>
      </w:pPr>
    </w:p>
    <w:p>
      <w:pPr>
        <w:pStyle w:val="Heading2"/>
        <w:keepNext/>
      </w:pPr>
      <w:r>
        <w:t>2.7 Copias de seguridad iniciales</w:t>
      </w:r>
    </w:p>
    <w:p>
      <w:pPr>
        <w:pStyle w:val="BodyText"/>
        <w:keepLines w:val="0"/>
        <w:spacing w:after="100" w:line="259" w:lineRule="auto"/>
        <w:ind w:left="0"/>
      </w:pPr>
      <w:r>
        <w:rPr>
          <w:rFonts w:ascii="Carlito" w:hAnsi="Carlito" w:eastAsia="Carlito"/>
          <w:i w:val="0"/>
          <w:sz w:val="21"/>
        </w:rPr>
        <w:t>Debe existir al menos una copia completa antes de comenzar a trabajar y otra antes de cualquier cambio importante. Una copia solo es fiable cuando puede restaurarse correctamente.</w:t>
      </w:r>
    </w:p>
    <w:p>
      <w:pPr>
        <w:pStyle w:val="ListBullet"/>
        <w:spacing w:after="40" w:line="240" w:lineRule="auto"/>
      </w:pPr>
      <w:r>
        <w:rPr>
          <w:rFonts w:ascii="Carlito" w:hAnsi="Carlito" w:eastAsia="Carlito"/>
          <w:sz w:val="20"/>
        </w:rPr>
        <w:t>Guardar una copia fuera del servidor principal.</w:t>
      </w:r>
    </w:p>
    <w:p>
      <w:pPr>
        <w:pStyle w:val="ListBullet"/>
        <w:spacing w:after="40" w:line="240" w:lineRule="auto"/>
      </w:pPr>
      <w:r>
        <w:rPr>
          <w:rFonts w:ascii="Carlito" w:hAnsi="Carlito" w:eastAsia="Carlito"/>
          <w:sz w:val="20"/>
        </w:rPr>
        <w:t>Conservar varias fechas, no únicamente la última.</w:t>
      </w:r>
    </w:p>
    <w:p>
      <w:pPr>
        <w:pStyle w:val="ListBullet"/>
        <w:spacing w:after="40" w:line="240" w:lineRule="auto"/>
      </w:pPr>
      <w:r>
        <w:rPr>
          <w:rFonts w:ascii="Carlito" w:hAnsi="Carlito" w:eastAsia="Carlito"/>
          <w:sz w:val="20"/>
        </w:rPr>
        <w:t>Registrar qué versión del programa y de la base de datos corresponde a cada copia.</w:t>
      </w:r>
    </w:p>
    <w:p>
      <w:pPr>
        <w:pStyle w:val="ListBullet"/>
        <w:spacing w:after="40" w:line="240" w:lineRule="auto"/>
      </w:pPr>
      <w:r>
        <w:rPr>
          <w:rFonts w:ascii="Carlito" w:hAnsi="Carlito" w:eastAsia="Carlito"/>
          <w:sz w:val="20"/>
        </w:rPr>
        <w:t>Probar periódicamente la restauración en un entorno separado.</w:t>
      </w:r>
    </w:p>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Basado en la versión validada clientes_moderno_v2_fix13_selector_formulario_facturas.zip.</w:t>
            </w:r>
          </w:p>
        </w:tc>
      </w:tr>
    </w:tbl>
    <w:p>
      <w:pPr>
        <w:spacing w:after="20"/>
      </w:pPr>
    </w:p>
    <w:p>
      <w:pPr>
        <w:pStyle w:val="Heading2"/>
        <w:keepNext/>
      </w:pPr>
      <w:r>
        <w:t>3.1 Acceso y foco inicial</w:t>
      </w:r>
    </w:p>
    <w:p>
      <w:pPr>
        <w:pStyle w:val="BodyText"/>
        <w:keepLines w:val="0"/>
        <w:spacing w:after="100" w:line="259" w:lineRule="auto"/>
        <w:ind w:left="0"/>
      </w:pPr>
      <w:r>
        <w:rPr>
          <w:rFonts w:ascii="Carlito" w:hAnsi="Carlito" w:eastAsia="Carlito"/>
          <w:i w:val="0"/>
          <w:sz w:val="21"/>
        </w:rPr>
        <w:t>Al abrir el formulario de Clientes, el foco debe situarse en el campo Código, que es el punto de entrada principal. Esto permite consultar o crear clientes sin utilizar el ratón.</w:t>
      </w:r>
    </w:p>
    <w:p>
      <w:pPr>
        <w:pStyle w:val="ListBullet"/>
        <w:spacing w:after="40" w:line="240" w:lineRule="auto"/>
      </w:pPr>
      <w:r>
        <w:rPr>
          <w:rFonts w:ascii="Carlito" w:hAnsi="Carlito" w:eastAsia="Carlito"/>
          <w:sz w:val="20"/>
        </w:rPr>
        <w:t>ESC cierra el formulario desde la página principal.</w:t>
      </w:r>
    </w:p>
    <w:p>
      <w:pPr>
        <w:pStyle w:val="ListBullet"/>
        <w:spacing w:after="40" w:line="240" w:lineRule="auto"/>
      </w:pPr>
      <w:r>
        <w:rPr>
          <w:rFonts w:ascii="Carlito" w:hAnsi="Carlito" w:eastAsia="Carlito"/>
          <w:sz w:val="20"/>
        </w:rPr>
        <w:t>Si existe un selector, diálogo o edición pendiente, ESC debe atender primero ese elemento.</w:t>
      </w:r>
    </w:p>
    <w:p>
      <w:pPr>
        <w:pStyle w:val="ListBullet"/>
        <w:spacing w:after="40" w:line="240" w:lineRule="auto"/>
      </w:pPr>
      <w:r>
        <w:rPr>
          <w:rFonts w:ascii="Carlito" w:hAnsi="Carlito" w:eastAsia="Carlito"/>
          <w:sz w:val="20"/>
        </w:rPr>
        <w:t>Los grids permiten ordenar por columnas y muestran el sentido de ordenación.</w:t>
      </w:r>
    </w:p>
    <w:p>
      <w:pPr>
        <w:pStyle w:val="Heading2"/>
        <w:keepNext/>
      </w:pPr>
      <w:r>
        <w:t>3.2 Consultar un cliente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Escribir el código si se conoce y confirmar.</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Utilizar la búsqueda por nombre, razón social, NIF o datos relacionados cuando no se conozca el código.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Revisar la ficha completa antes de modificarla, especialmente condiciones fiscales, tarifas y opciones de facturación.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documentos asociados desde los selectores o pestañas disponibles.</w:t>
      </w:r>
    </w:p>
    <w:p>
      <w:pPr>
        <w:pStyle w:val="Heading2"/>
        <w:keepNext/>
      </w:pPr>
      <w:r>
        <w:t>3.3 Crear un cliente</w:t>
      </w:r>
    </w:p>
    <w:p>
      <w:pPr>
        <w:pStyle w:val="BodyText"/>
        <w:keepLines w:val="0"/>
        <w:spacing w:after="100" w:line="259" w:lineRule="auto"/>
        <w:ind w:left="0"/>
      </w:pPr>
      <w:r>
        <w:rPr>
          <w:rFonts w:ascii="Carlito" w:hAnsi="Carlito" w:eastAsia="Carlito"/>
          <w:i w:val="0"/>
          <w:sz w:val="21"/>
        </w:rPr>
        <w:t>El código propuesto debe respetar la misma lógica utilizada por Ventas y por la ficha de Clientes. Antes de guardar, debe comprobarse que el cliente no existe con otro código.</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Código correcto y no duplicado.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Nombre o razón social completo.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NIF/CIF/DNI/NIE revisado.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Dirección, población, provincia y código postal.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Teléfono y correo electrónico.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Forma de pago y condiciones comerciales.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o circuito de facturación cuando proceda.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Opciones especiales C41, C42, C55, C56 y C57 revisadas cuando sean aplicables.</w:t>
            </w:r>
          </w:p>
        </w:tc>
      </w:tr>
    </w:tbl>
    <w:p>
      <w:pPr>
        <w:spacing w:after="40"/>
      </w:pPr>
    </w:p>
    <w:p>
      <w:pPr>
        <w:pStyle w:val="Heading2"/>
        <w:keepNext/>
      </w:pPr>
      <w:r>
        <w:t>3.4 Coincidencias de NIF</w:t>
      </w:r>
    </w:p>
    <w:p>
      <w:pPr>
        <w:pStyle w:val="BodyText"/>
        <w:keepLines w:val="0"/>
        <w:spacing w:after="100" w:line="259" w:lineRule="auto"/>
        <w:ind w:left="0"/>
      </w:pPr>
      <w:r>
        <w:rPr>
          <w:rFonts w:ascii="Carlito" w:hAnsi="Carlito" w:eastAsia="Carlito"/>
          <w:i w:val="0"/>
          <w:sz w:val="21"/>
        </w:rPr>
        <w:t>Cuando un NIF coincide con más de un cliente, no debe seleccionarse automáticamente el primer registro. Debe mostrarse una ventana con todas las coincidencias para que el usuario elija la entidad correcta. Este caso aparece con frecuencia en entidades públicas, grupos relacionados o fichas históricas.</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BUENAS PRÁCTICAS: </w:t>
            </w:r>
            <w:r>
              <w:rPr>
                <w:rFonts w:ascii="Carlito" w:hAnsi="Carlito" w:eastAsia="Carlito"/>
                <w:color w:val="000000"/>
                <w:sz w:val="19"/>
              </w:rPr>
              <w:t>No utilizar únicamente el NIF para decidir el cliente. Comparar también nombre, dirección, centro, departamento y código interno.</w:t>
            </w:r>
          </w:p>
        </w:tc>
      </w:tr>
    </w:tbl>
    <w:p>
      <w:pPr>
        <w:spacing w:after="20"/>
      </w:pPr>
    </w:p>
    <w:p>
      <w:pPr>
        <w:pStyle w:val="Heading2"/>
        <w:keepNext/>
      </w:pPr>
      <w:r>
        <w:t>3.5 Cliente a precio de coste</w:t>
      </w:r>
    </w:p>
    <w:p>
      <w:pPr>
        <w:pStyle w:val="BodyText"/>
        <w:keepLines w:val="0"/>
        <w:spacing w:after="100" w:line="259" w:lineRule="auto"/>
        <w:ind w:left="0"/>
      </w:pPr>
      <w:r>
        <w:rPr>
          <w:rFonts w:ascii="Carlito" w:hAnsi="Carlito" w:eastAsia="Carlito"/>
          <w:i w:val="0"/>
          <w:sz w:val="21"/>
        </w:rPr>
        <w:t>La opción asociada al campo C57 permite identificar clientes cuyas ventas deben calcularse con precios de coste, por ejemplo para consumo propio. Esta función requiere una revisión fiscal cuidadosa y debe comprobarse en Ventas antes de utilizarla de forma general.</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PENDIENTE DE VALIDACIÓN COMPLETA: </w:t>
            </w:r>
            <w:r>
              <w:rPr>
                <w:rFonts w:ascii="Carlito" w:hAnsi="Carlito" w:eastAsia="Carlito"/>
                <w:color w:val="000000"/>
                <w:sz w:val="19"/>
              </w:rPr>
              <w:t>La lógica comercial puede estar implementada, pero el tratamiento del IVA, márgenes, descuentos, estadísticas y documentos debe comprobarse en cada circuito.</w:t>
            </w:r>
          </w:p>
        </w:tc>
      </w:tr>
    </w:tbl>
    <w:p>
      <w:pPr>
        <w:spacing w:after="20"/>
      </w:pPr>
    </w:p>
    <w:p>
      <w:pPr>
        <w:pStyle w:val="Heading2"/>
        <w:keepNext/>
      </w:pPr>
      <w:r>
        <w:t>3.6 Modificación y borrado</w:t>
      </w:r>
    </w:p>
    <w:p>
      <w:pPr>
        <w:pStyle w:val="BodyText"/>
        <w:keepLines w:val="0"/>
        <w:spacing w:after="100" w:line="259" w:lineRule="auto"/>
        <w:ind w:left="0"/>
      </w:pPr>
      <w:r>
        <w:rPr>
          <w:rFonts w:ascii="Carlito" w:hAnsi="Carlito" w:eastAsia="Carlito"/>
          <w:i w:val="0"/>
          <w:sz w:val="21"/>
        </w:rPr>
        <w:t>Antes de modificar datos fiscales o comerciales, debe revisarse si el cliente tiene documentos pendientes. El borrado físico de clientes con histórico puede afectar consultas y trazabilidad; cuando sea posible, es preferible desactivar o marcar la ficha en lugar de eliminarla.</w:t>
      </w:r>
    </w:p>
    <w:p>
      <w:pPr>
        <w:pStyle w:val="Heading2"/>
        <w:keepNext/>
      </w:pPr>
      <w:r>
        <w:t>3.7 Lista de comprobación</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foco entra en Código.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búsqueda general se abre centrada y permite ver el formulario de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columnas ordenan correctamente.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botones de búsqueda y rutas son visibles.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opciones críticas no quedan ocultas.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ESC vuelve al menú sin cerrar diálogos de forma insegura.</w:t>
            </w:r>
          </w:p>
        </w:tc>
      </w:tr>
    </w:tbl>
    <w:p>
      <w:pPr>
        <w:spacing w:after="40"/>
      </w:pP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cliente con campos principales y opciones críticas</w:t>
            </w:r>
          </w:p>
        </w:tc>
      </w:tr>
    </w:tbl>
    <w:p>
      <w:pPr>
        <w:spacing w:after="40"/>
      </w:pPr>
    </w:p>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Capítulo funcional. La modernización visual de Artículos se considera finalizada de momento, pendiente de capturas definitivas.</w:t>
            </w:r>
          </w:p>
        </w:tc>
      </w:tr>
    </w:tbl>
    <w:p>
      <w:pPr>
        <w:spacing w:after="20"/>
      </w:pPr>
    </w:p>
    <w:p>
      <w:pPr>
        <w:pStyle w:val="Heading2"/>
        <w:keepNext/>
      </w:pPr>
      <w:r>
        <w:t>4.1 Ficha de artículos</w:t>
      </w:r>
    </w:p>
    <w:p>
      <w:pPr>
        <w:pStyle w:val="BodyText"/>
        <w:keepLines w:val="0"/>
        <w:spacing w:after="100" w:line="259" w:lineRule="auto"/>
        <w:ind w:left="0"/>
      </w:pPr>
      <w:r>
        <w:rPr>
          <w:rFonts w:ascii="Carlito" w:hAnsi="Carlito" w:eastAsia="Carlito"/>
          <w:i w:val="0"/>
          <w:sz w:val="21"/>
        </w:rPr>
        <w:t>El formulario de Artículos centraliza descripción, códigos, precios, costes, impuestos, familia, proveedor, EAN, existencias y opciones comerciales. Al abrirlo, el foco debe situarse en el campo Código.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928"/>
            <w:shd w:fill="1F4E78"/>
            <w:vAlign w:val="center"/>
          </w:tcPr>
          <w:p>
            <w:r>
              <w:rPr>
                <w:rFonts w:ascii="Carlito" w:hAnsi="Carlito" w:eastAsia="Carlito"/>
                <w:b/>
                <w:color w:val="FFFFFF"/>
                <w:sz w:val="18"/>
              </w:rPr>
              <w:t>Dato</w:t>
            </w:r>
          </w:p>
        </w:tc>
        <w:tc>
          <w:tcPr>
            <w:tcW w:type="dxa" w:w="1871"/>
            <w:shd w:fill="1F4E78"/>
            <w:vAlign w:val="center"/>
          </w:tcPr>
          <w:p>
            <w:r>
              <w:rPr>
                <w:rFonts w:ascii="Carlito" w:hAnsi="Carlito" w:eastAsia="Carlito"/>
                <w:b/>
                <w:color w:val="FFFFFF"/>
                <w:sz w:val="18"/>
              </w:rPr>
              <w:t>Referencia técnica</w:t>
            </w:r>
          </w:p>
        </w:tc>
        <w:tc>
          <w:tcPr>
            <w:tcW w:type="dxa" w:w="5216"/>
            <w:shd w:fill="1F4E78"/>
            <w:vAlign w:val="center"/>
          </w:tcPr>
          <w:p>
            <w:r>
              <w:rPr>
                <w:rFonts w:ascii="Carlito" w:hAnsi="Carlito" w:eastAsia="Carlito"/>
                <w:b/>
                <w:color w:val="FFFFFF"/>
                <w:sz w:val="18"/>
              </w:rPr>
              <w:t>Uso</w:t>
            </w:r>
          </w:p>
        </w:tc>
      </w:tr>
      <w:tr>
        <w:trPr>
          <w:cantSplit/>
        </w:trPr>
        <w:tc>
          <w:tcPr>
            <w:tcW w:type="dxa" w:w="1928"/>
            <w:vAlign w:val="center"/>
          </w:tcPr>
          <w:p>
            <w:r>
              <w:rPr>
                <w:rFonts w:ascii="Carlito" w:hAnsi="Carlito" w:eastAsia="Carlito"/>
                <w:sz w:val="18"/>
              </w:rPr>
              <w:t>Código</w:t>
            </w:r>
          </w:p>
        </w:tc>
        <w:tc>
          <w:tcPr>
            <w:tcW w:type="dxa" w:w="1871"/>
            <w:vAlign w:val="center"/>
          </w:tcPr>
          <w:p>
            <w:r>
              <w:rPr>
                <w:rFonts w:ascii="Carlito" w:hAnsi="Carlito" w:eastAsia="Carlito"/>
                <w:sz w:val="18"/>
              </w:rPr>
              <w:t>A0</w:t>
            </w:r>
          </w:p>
        </w:tc>
        <w:tc>
          <w:tcPr>
            <w:tcW w:type="dxa" w:w="5216"/>
            <w:vAlign w:val="center"/>
          </w:tcPr>
          <w:p>
            <w:r>
              <w:rPr>
                <w:rFonts w:ascii="Carlito" w:hAnsi="Carlito" w:eastAsia="Carlito"/>
                <w:sz w:val="18"/>
              </w:rPr>
              <w:t>Identificación principal del artículo.</w:t>
            </w:r>
          </w:p>
        </w:tc>
      </w:tr>
      <w:tr>
        <w:trPr>
          <w:cantSplit/>
        </w:trPr>
        <w:tc>
          <w:tcPr>
            <w:tcW w:type="dxa" w:w="1928"/>
            <w:shd w:fill="F2F2F2"/>
            <w:vAlign w:val="center"/>
          </w:tcPr>
          <w:p>
            <w:r>
              <w:rPr>
                <w:rFonts w:ascii="Carlito" w:hAnsi="Carlito" w:eastAsia="Carlito"/>
                <w:sz w:val="18"/>
              </w:rPr>
              <w:t>Descripción</w:t>
            </w:r>
          </w:p>
        </w:tc>
        <w:tc>
          <w:tcPr>
            <w:tcW w:type="dxa" w:w="1871"/>
            <w:shd w:fill="F2F2F2"/>
            <w:vAlign w:val="center"/>
          </w:tcPr>
          <w:p>
            <w:r>
              <w:rPr>
                <w:rFonts w:ascii="Carlito" w:hAnsi="Carlito" w:eastAsia="Carlito"/>
                <w:sz w:val="18"/>
              </w:rPr>
              <w:t>A1</w:t>
            </w:r>
          </w:p>
        </w:tc>
        <w:tc>
          <w:tcPr>
            <w:tcW w:type="dxa" w:w="5216"/>
            <w:shd w:fill="F2F2F2"/>
            <w:vAlign w:val="center"/>
          </w:tcPr>
          <w:p>
            <w:r>
              <w:rPr>
                <w:rFonts w:ascii="Carlito" w:hAnsi="Carlito" w:eastAsia="Carlito"/>
                <w:sz w:val="18"/>
              </w:rPr>
              <w:t>Texto comercial del artículo.</w:t>
            </w:r>
          </w:p>
        </w:tc>
      </w:tr>
      <w:tr>
        <w:trPr>
          <w:cantSplit/>
        </w:trPr>
        <w:tc>
          <w:tcPr>
            <w:tcW w:type="dxa" w:w="1928"/>
            <w:vAlign w:val="center"/>
          </w:tcPr>
          <w:p>
            <w:r>
              <w:rPr>
                <w:rFonts w:ascii="Carlito" w:hAnsi="Carlito" w:eastAsia="Carlito"/>
                <w:sz w:val="18"/>
              </w:rPr>
              <w:t>PVP con IVA</w:t>
            </w:r>
          </w:p>
        </w:tc>
        <w:tc>
          <w:tcPr>
            <w:tcW w:type="dxa" w:w="1871"/>
            <w:vAlign w:val="center"/>
          </w:tcPr>
          <w:p>
            <w:r>
              <w:rPr>
                <w:rFonts w:ascii="Carlito" w:hAnsi="Carlito" w:eastAsia="Carlito"/>
                <w:sz w:val="18"/>
              </w:rPr>
              <w:t>A2</w:t>
            </w:r>
          </w:p>
        </w:tc>
        <w:tc>
          <w:tcPr>
            <w:tcW w:type="dxa" w:w="5216"/>
            <w:vAlign w:val="center"/>
          </w:tcPr>
          <w:p>
            <w:r>
              <w:rPr>
                <w:rFonts w:ascii="Carlito" w:hAnsi="Carlito" w:eastAsia="Carlito"/>
                <w:sz w:val="18"/>
              </w:rPr>
              <w:t>Precio de venta final con impuestos.</w:t>
            </w:r>
          </w:p>
        </w:tc>
      </w:tr>
      <w:tr>
        <w:trPr>
          <w:cantSplit/>
        </w:trPr>
        <w:tc>
          <w:tcPr>
            <w:tcW w:type="dxa" w:w="1928"/>
            <w:shd w:fill="F2F2F2"/>
            <w:vAlign w:val="center"/>
          </w:tcPr>
          <w:p>
            <w:r>
              <w:rPr>
                <w:rFonts w:ascii="Carlito" w:hAnsi="Carlito" w:eastAsia="Carlito"/>
                <w:sz w:val="18"/>
              </w:rPr>
              <w:t>PVP sin IVA</w:t>
            </w:r>
          </w:p>
        </w:tc>
        <w:tc>
          <w:tcPr>
            <w:tcW w:type="dxa" w:w="1871"/>
            <w:shd w:fill="F2F2F2"/>
            <w:vAlign w:val="center"/>
          </w:tcPr>
          <w:p>
            <w:r>
              <w:rPr>
                <w:rFonts w:ascii="Carlito" w:hAnsi="Carlito" w:eastAsia="Carlito"/>
                <w:sz w:val="18"/>
              </w:rPr>
              <w:t>A21</w:t>
            </w:r>
          </w:p>
        </w:tc>
        <w:tc>
          <w:tcPr>
            <w:tcW w:type="dxa" w:w="5216"/>
            <w:shd w:fill="F2F2F2"/>
            <w:vAlign w:val="center"/>
          </w:tcPr>
          <w:p>
            <w:r>
              <w:rPr>
                <w:rFonts w:ascii="Carlito" w:hAnsi="Carlito" w:eastAsia="Carlito"/>
                <w:sz w:val="18"/>
              </w:rPr>
              <w:t>Precio de venta antes de impuestos.</w:t>
            </w:r>
          </w:p>
        </w:tc>
      </w:tr>
      <w:tr>
        <w:trPr>
          <w:cantSplit/>
        </w:trPr>
        <w:tc>
          <w:tcPr>
            <w:tcW w:type="dxa" w:w="1928"/>
            <w:vAlign w:val="center"/>
          </w:tcPr>
          <w:p>
            <w:r>
              <w:rPr>
                <w:rFonts w:ascii="Carlito" w:hAnsi="Carlito" w:eastAsia="Carlito"/>
                <w:sz w:val="18"/>
              </w:rPr>
              <w:t>Precio de coste</w:t>
            </w:r>
          </w:p>
        </w:tc>
        <w:tc>
          <w:tcPr>
            <w:tcW w:type="dxa" w:w="1871"/>
            <w:vAlign w:val="center"/>
          </w:tcPr>
          <w:p>
            <w:r>
              <w:rPr>
                <w:rFonts w:ascii="Carlito" w:hAnsi="Carlito" w:eastAsia="Carlito"/>
                <w:sz w:val="18"/>
              </w:rPr>
              <w:t>A24</w:t>
            </w:r>
          </w:p>
        </w:tc>
        <w:tc>
          <w:tcPr>
            <w:tcW w:type="dxa" w:w="5216"/>
            <w:vAlign w:val="center"/>
          </w:tcPr>
          <w:p>
            <w:r>
              <w:rPr>
                <w:rFonts w:ascii="Carlito" w:hAnsi="Carlito" w:eastAsia="Carlito"/>
                <w:sz w:val="18"/>
              </w:rPr>
              <w:t>Coste utilizado en márgenes y procesos internos.</w:t>
            </w:r>
          </w:p>
        </w:tc>
      </w:tr>
      <w:tr>
        <w:trPr>
          <w:cantSplit/>
        </w:trPr>
        <w:tc>
          <w:tcPr>
            <w:tcW w:type="dxa" w:w="1928"/>
            <w:shd w:fill="F2F2F2"/>
            <w:vAlign w:val="center"/>
          </w:tcPr>
          <w:p>
            <w:r>
              <w:rPr>
                <w:rFonts w:ascii="Carlito" w:hAnsi="Carlito" w:eastAsia="Carlito"/>
                <w:sz w:val="18"/>
              </w:rPr>
              <w:t>Familia</w:t>
            </w:r>
          </w:p>
        </w:tc>
        <w:tc>
          <w:tcPr>
            <w:tcW w:type="dxa" w:w="1871"/>
            <w:shd w:fill="F2F2F2"/>
            <w:vAlign w:val="center"/>
          </w:tcPr>
          <w:p>
            <w:r>
              <w:rPr>
                <w:rFonts w:ascii="Carlito" w:hAnsi="Carlito" w:eastAsia="Carlito"/>
                <w:sz w:val="18"/>
              </w:rPr>
              <w:t>A14</w:t>
            </w:r>
          </w:p>
        </w:tc>
        <w:tc>
          <w:tcPr>
            <w:tcW w:type="dxa" w:w="5216"/>
            <w:shd w:fill="F2F2F2"/>
            <w:vAlign w:val="center"/>
          </w:tcPr>
          <w:p>
            <w:r>
              <w:rPr>
                <w:rFonts w:ascii="Carlito" w:hAnsi="Carlito" w:eastAsia="Carlito"/>
                <w:sz w:val="18"/>
              </w:rPr>
              <w:t>Clasificación para filtros, estadísticas y teclado.</w:t>
            </w:r>
          </w:p>
        </w:tc>
      </w:tr>
      <w:tr>
        <w:trPr>
          <w:cantSplit/>
        </w:trPr>
        <w:tc>
          <w:tcPr>
            <w:tcW w:type="dxa" w:w="1928"/>
            <w:vAlign w:val="center"/>
          </w:tcPr>
          <w:p>
            <w:r>
              <w:rPr>
                <w:rFonts w:ascii="Carlito" w:hAnsi="Carlito" w:eastAsia="Carlito"/>
                <w:sz w:val="18"/>
              </w:rPr>
              <w:t>Proveedor</w:t>
            </w:r>
          </w:p>
        </w:tc>
        <w:tc>
          <w:tcPr>
            <w:tcW w:type="dxa" w:w="1871"/>
            <w:vAlign w:val="center"/>
          </w:tcPr>
          <w:p>
            <w:r>
              <w:rPr>
                <w:rFonts w:ascii="Carlito" w:hAnsi="Carlito" w:eastAsia="Carlito"/>
                <w:sz w:val="18"/>
              </w:rPr>
              <w:t>A32</w:t>
            </w:r>
          </w:p>
        </w:tc>
        <w:tc>
          <w:tcPr>
            <w:tcW w:type="dxa" w:w="5216"/>
            <w:vAlign w:val="center"/>
          </w:tcPr>
          <w:p>
            <w:r>
              <w:rPr>
                <w:rFonts w:ascii="Carlito" w:hAnsi="Carlito" w:eastAsia="Carlito"/>
                <w:sz w:val="18"/>
              </w:rPr>
              <w:t>Proveedor principal o de referencia.</w:t>
            </w:r>
          </w:p>
        </w:tc>
      </w:tr>
    </w:tbl>
    <w:p>
      <w:pPr>
        <w:spacing w:after="40"/>
      </w:pPr>
    </w:p>
    <w:p>
      <w:pPr>
        <w:pStyle w:val="Heading2"/>
        <w:keepNext/>
      </w:pPr>
      <w:r>
        <w:t>4.2 Distribución de costes y tarifas</w:t>
      </w:r>
    </w:p>
    <w:p>
      <w:pPr>
        <w:pStyle w:val="BodyText"/>
        <w:keepLines w:val="0"/>
        <w:spacing w:after="100" w:line="259" w:lineRule="auto"/>
        <w:ind w:left="0"/>
      </w:pPr>
      <w:r>
        <w:rPr>
          <w:rFonts w:ascii="Carlito" w:hAnsi="Carlito" w:eastAsia="Carlito"/>
          <w:i w:val="0"/>
          <w:sz w:val="21"/>
        </w:rPr>
        <w:t>El campo Precio de coste debe aparecer en la pestaña Costes y Tarifas, dentro del bloque Datos de compras, después de % Descuento 2. Los bloques Datos de compras y Datos de ventas deben disponer de anchura suficiente para trabajar sin amontonamientos.</w:t>
      </w:r>
    </w:p>
    <w:p>
      <w:pPr>
        <w:pStyle w:val="ListBullet"/>
        <w:spacing w:after="40" w:line="240" w:lineRule="auto"/>
      </w:pPr>
      <w:r>
        <w:rPr>
          <w:rFonts w:ascii="Carlito" w:hAnsi="Carlito" w:eastAsia="Carlito"/>
          <w:sz w:val="20"/>
        </w:rPr>
        <w:t>Revisar que el PVP con IVA y sin IVA sean coherentes con el tipo de IVA.</w:t>
      </w:r>
    </w:p>
    <w:p>
      <w:pPr>
        <w:pStyle w:val="ListBullet"/>
        <w:spacing w:after="40" w:line="240" w:lineRule="auto"/>
      </w:pPr>
      <w:r>
        <w:rPr>
          <w:rFonts w:ascii="Carlito" w:hAnsi="Carlito" w:eastAsia="Carlito"/>
          <w:sz w:val="20"/>
        </w:rPr>
        <w:t>Comprobar el coste antes de aplicar actualizaciones automáticas o márgenes mínimos.</w:t>
      </w:r>
    </w:p>
    <w:p>
      <w:pPr>
        <w:pStyle w:val="ListBullet"/>
        <w:spacing w:after="40" w:line="240" w:lineRule="auto"/>
      </w:pPr>
      <w:r>
        <w:rPr>
          <w:rFonts w:ascii="Carlito" w:hAnsi="Carlito" w:eastAsia="Carlito"/>
          <w:sz w:val="20"/>
        </w:rPr>
        <w:t>Verificar las tarifas especiales y sus redondeos.</w:t>
      </w:r>
    </w:p>
    <w:p>
      <w:pPr>
        <w:pStyle w:val="ListBullet"/>
        <w:spacing w:after="40" w:line="240" w:lineRule="auto"/>
      </w:pPr>
      <w:r>
        <w:rPr>
          <w:rFonts w:ascii="Carlito" w:hAnsi="Carlito" w:eastAsia="Carlito"/>
          <w:sz w:val="20"/>
        </w:rPr>
        <w:t>No confundir el precio estadístico vendido con el PVP de tarifa cuando existe descuento.</w:t>
      </w:r>
    </w:p>
    <w:p>
      <w:pPr>
        <w:pStyle w:val="Heading2"/>
        <w:keepNext/>
      </w:pPr>
      <w:r>
        <w:t>4.3 Códigos EAN</w:t>
      </w:r>
    </w:p>
    <w:p>
      <w:pPr>
        <w:pStyle w:val="BodyText"/>
        <w:keepLines w:val="0"/>
        <w:spacing w:after="100" w:line="259" w:lineRule="auto"/>
        <w:ind w:left="0"/>
      </w:pPr>
      <w:r>
        <w:rPr>
          <w:rFonts w:ascii="Carlito" w:hAnsi="Carlito" w:eastAsia="Carlito"/>
          <w:i w:val="0"/>
          <w:sz w:val="21"/>
        </w:rPr>
        <w:t>Los códigos EAN permiten localizar artículos desde lectores y procesos de compra o venta. Las tablas de EAN relacionan el código leído con el artículo correspondiente.</w:t>
      </w:r>
    </w:p>
    <w:p>
      <w:pPr>
        <w:pStyle w:val="ListBullet"/>
        <w:spacing w:after="40" w:line="240" w:lineRule="auto"/>
      </w:pPr>
      <w:r>
        <w:rPr>
          <w:rFonts w:ascii="Carlito" w:hAnsi="Carlito" w:eastAsia="Carlito"/>
          <w:sz w:val="20"/>
        </w:rPr>
        <w:t>Evitar EAN duplicados salvo que exista una razón controlada.</w:t>
      </w:r>
    </w:p>
    <w:p>
      <w:pPr>
        <w:pStyle w:val="ListBullet"/>
        <w:spacing w:after="40" w:line="240" w:lineRule="auto"/>
      </w:pPr>
      <w:r>
        <w:rPr>
          <w:rFonts w:ascii="Carlito" w:hAnsi="Carlito" w:eastAsia="Carlito"/>
          <w:sz w:val="20"/>
        </w:rPr>
        <w:t>Comprobar que la búsqueda por EAN encuentra el artículo correcto.</w:t>
      </w:r>
    </w:p>
    <w:p>
      <w:pPr>
        <w:pStyle w:val="ListBullet"/>
        <w:spacing w:after="40" w:line="240" w:lineRule="auto"/>
      </w:pPr>
      <w:r>
        <w:rPr>
          <w:rFonts w:ascii="Carlito" w:hAnsi="Carlito" w:eastAsia="Carlito"/>
          <w:sz w:val="20"/>
        </w:rPr>
        <w:t>Cuando se lea un EAN inexistente, debe estudiarse la opción de asociarlo al artículo adecuado sin interrumpir el flujo de trabajo.</w:t>
      </w:r>
    </w:p>
    <w:p>
      <w:pPr>
        <w:pStyle w:val="Heading2"/>
        <w:keepNext/>
      </w:pPr>
      <w:r>
        <w:t>4.4 Familias y proveedores</w:t>
      </w:r>
    </w:p>
    <w:p>
      <w:pPr>
        <w:pStyle w:val="BodyText"/>
        <w:keepLines w:val="0"/>
        <w:spacing w:after="100" w:line="259" w:lineRule="auto"/>
        <w:ind w:left="0"/>
      </w:pPr>
      <w:r>
        <w:rPr>
          <w:rFonts w:ascii="Carlito" w:hAnsi="Carlito" w:eastAsia="Carlito"/>
          <w:i w:val="0"/>
          <w:sz w:val="21"/>
        </w:rPr>
        <w:t>Las familias facilitan búsquedas, estadísticas, organización del teclado táctil y análisis de ventas. El proveedor principal se utiliza en pedidos automáticos y procesos de reposición.</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CALIDAD DE DATOS: </w:t>
            </w:r>
            <w:r>
              <w:rPr>
                <w:rFonts w:ascii="Carlito" w:hAnsi="Carlito" w:eastAsia="Carlito"/>
                <w:color w:val="000000"/>
                <w:sz w:val="19"/>
              </w:rPr>
              <w:t>Una familia o proveedor incorrectos afectan a pedidos, estadísticas y filtros. Es preferible corregirlos desde la ficha de Artículos y registrar el cambio.</w:t>
            </w:r>
          </w:p>
        </w:tc>
      </w:tr>
    </w:tbl>
    <w:p>
      <w:pPr>
        <w:spacing w:after="20"/>
      </w:pPr>
    </w:p>
    <w:p>
      <w:pPr>
        <w:pStyle w:val="Heading2"/>
        <w:keepNext/>
      </w:pPr>
      <w:r>
        <w:t>4.5 Actualización automática de precios</w:t>
      </w:r>
    </w:p>
    <w:p>
      <w:pPr>
        <w:pStyle w:val="BodyText"/>
        <w:keepLines w:val="0"/>
        <w:spacing w:after="100" w:line="259" w:lineRule="auto"/>
        <w:ind w:left="0"/>
      </w:pPr>
      <w:r>
        <w:rPr>
          <w:rFonts w:ascii="Carlito" w:hAnsi="Carlito" w:eastAsia="Carlito"/>
          <w:i w:val="0"/>
          <w:sz w:val="21"/>
        </w:rPr>
        <w:t>El actualizador de tarifas permite modificar precios aplicando reglas y terminaciones. Puede utilizar terminaciones 5, 9 o 0 y controlar un margen mínimo configurable.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conjunto de artículos.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el criterio de actualización.</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Configurar la terminación deseada.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Revisar el margen mínimo y los avisos.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Previsualizar o comprobar una muestra antes de aplicar.</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Registrar o consultar el histórico de cambios de precios.</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Una actualización masiva puede afectar cientos de artículos. Realizar copia previa y revisar especialmente coste, IVA y redondeos.</w:t>
            </w:r>
          </w:p>
        </w:tc>
      </w:tr>
    </w:tbl>
    <w:p>
      <w:pPr>
        <w:spacing w:after="20"/>
      </w:pPr>
    </w:p>
    <w:p>
      <w:pPr>
        <w:pStyle w:val="Heading2"/>
        <w:keepNext/>
      </w:pPr>
      <w:r>
        <w:t>4.6 Historial de precios y existencias</w:t>
      </w:r>
    </w:p>
    <w:p>
      <w:pPr>
        <w:pStyle w:val="BodyText"/>
        <w:keepLines w:val="0"/>
        <w:spacing w:after="100" w:line="259" w:lineRule="auto"/>
        <w:ind w:left="0"/>
      </w:pPr>
      <w:r>
        <w:rPr>
          <w:rFonts w:ascii="Carlito" w:hAnsi="Carlito" w:eastAsia="Carlito"/>
          <w:i w:val="0"/>
          <w:sz w:val="21"/>
        </w:rPr>
        <w:t>Los cambios de tarifas y existencias deben quedar registrados en los módulos de histórico correspondientes. En Actualización de stocks, Ver historial sin código debe mostrar todos los cambios; al indicar un código, debe filtrar correctamente.</w:t>
      </w:r>
    </w:p>
    <w:p>
      <w:pPr>
        <w:pStyle w:val="ListBullet"/>
        <w:spacing w:after="40" w:line="240" w:lineRule="auto"/>
      </w:pPr>
      <w:r>
        <w:rPr>
          <w:rFonts w:ascii="Carlito" w:hAnsi="Carlito" w:eastAsia="Carlito"/>
          <w:sz w:val="20"/>
        </w:rPr>
        <w:t>Las columnas del historial deben poder ordenarse.</w:t>
      </w:r>
    </w:p>
    <w:p>
      <w:pPr>
        <w:pStyle w:val="ListBullet"/>
        <w:spacing w:after="40" w:line="240" w:lineRule="auto"/>
      </w:pPr>
      <w:r>
        <w:rPr>
          <w:rFonts w:ascii="Carlito" w:hAnsi="Carlito" w:eastAsia="Carlito"/>
          <w:sz w:val="20"/>
        </w:rPr>
        <w:t>La consulta sin filtro no debe limitarse a un único registro.</w:t>
      </w:r>
    </w:p>
    <w:p>
      <w:pPr>
        <w:pStyle w:val="ListBullet"/>
        <w:spacing w:after="40" w:line="240" w:lineRule="auto"/>
      </w:pPr>
      <w:r>
        <w:rPr>
          <w:rFonts w:ascii="Carlito" w:hAnsi="Carlito" w:eastAsia="Carlito"/>
          <w:sz w:val="20"/>
        </w:rPr>
        <w:t>Las fechas, usuarios y valores anterior/nuevo deben ser legibles.</w:t>
      </w:r>
    </w:p>
    <w:p>
      <w:pPr>
        <w:pStyle w:val="Heading2"/>
        <w:keepNext/>
      </w:pPr>
      <w:r>
        <w:t>4.7 Sistema de puntos</w:t>
      </w:r>
    </w:p>
    <w:p>
      <w:pPr>
        <w:pStyle w:val="BodyText"/>
        <w:keepLines w:val="0"/>
        <w:spacing w:after="100" w:line="259" w:lineRule="auto"/>
        <w:ind w:left="0"/>
      </w:pPr>
      <w:r>
        <w:rPr>
          <w:rFonts w:ascii="Carlito" w:hAnsi="Carlito" w:eastAsia="Carlito"/>
          <w:i w:val="0"/>
          <w:sz w:val="21"/>
        </w:rPr>
        <w:t>La zona Nivel de puntos debe tener anchura suficiente para mostrar el texto explicativo completo. Antes de utilizarla, comprobar la configuración comercial y el efecto en clientes y ventas.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artículo: Datos de compras, Datos de ventas, coste y tarifas</w:t>
            </w:r>
          </w:p>
        </w:tc>
      </w:tr>
    </w:tbl>
    <w:p>
      <w:pPr>
        <w:spacing w:after="40"/>
      </w:pPr>
    </w:p>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nuevo acceso Históricos al histórico de operaciones. La figura principal es una composición documental sobre la captura real del 22/07/2026, porque todavía no se dispone de una captura directa posterior al último cambio.</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BodyText"/>
        <w:spacing w:after="160"/>
        <w:jc w:val="center"/>
      </w:pPr>
      <w:r>
        <w:rPr>
          <w:i/>
          <w:color w:val="464E5A"/>
          <w:sz w:val="18"/>
        </w:rPr>
        <w:t>Figura 5.1. Composición documental actualizada sobre una captura real de Ventas; incorpora el nuevo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Caja e informe de IVA por períodos validados. El módulo Créditos está modernizado, con algunos comportamientos todavía sensibles.</w:t>
            </w:r>
          </w:p>
        </w:tc>
      </w:tr>
    </w:tbl>
    <w:p>
      <w:pPr>
        <w:spacing w:after="20"/>
      </w:pPr>
    </w:p>
    <w:p>
      <w:pPr>
        <w:pStyle w:val="Heading2"/>
        <w:keepNext/>
      </w:pPr>
      <w:r>
        <w:t>6.1 Apertura, movimientos y cierre</w:t>
      </w:r>
    </w:p>
    <w:p>
      <w:pPr>
        <w:pStyle w:val="BodyText"/>
        <w:keepLines w:val="0"/>
        <w:spacing w:after="100" w:line="259" w:lineRule="auto"/>
        <w:ind w:left="0"/>
      </w:pPr>
      <w:r>
        <w:rPr>
          <w:rFonts w:ascii="Carlito" w:hAnsi="Carlito" w:eastAsia="Carlito"/>
          <w:i w:val="0"/>
          <w:sz w:val="21"/>
        </w:rPr>
        <w:t>La gestión de caja debe reflejar cobros, pagos, ingresos, retiradas y arqueos. Los importes negativos deben visualizarse con signo menos y color diferenciado, sin impedir su registro cuando sean válidos.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Saldo inicial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Movimientos del día completos.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Pagos e ingresos con concepto identificable.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Efectivo contado y comparado con el saldo teórico.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Diferencias justificadas.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Cierre o arqueo guardado e impreso cuando proceda.</w:t>
            </w:r>
          </w:p>
        </w:tc>
      </w:tr>
    </w:tbl>
    <w:p>
      <w:pPr>
        <w:spacing w:after="40"/>
      </w:pPr>
    </w:p>
    <w:p>
      <w:pPr>
        <w:pStyle w:val="Heading2"/>
        <w:keepNext/>
      </w:pPr>
      <w:r>
        <w:t>6.2 Créditos de clientes</w:t>
      </w:r>
    </w:p>
    <w:p>
      <w:pPr>
        <w:pStyle w:val="BodyText"/>
        <w:keepLines w:val="0"/>
        <w:spacing w:after="100" w:line="259" w:lineRule="auto"/>
        <w:ind w:left="0"/>
      </w:pPr>
      <w:r>
        <w:rPr>
          <w:rFonts w:ascii="Carlito" w:hAnsi="Carlito" w:eastAsia="Carlito"/>
          <w:i w:val="0"/>
          <w:sz w:val="21"/>
        </w:rPr>
        <w:t>El módulo Créditos permite registrar importes pendientes y saldarlos posteriormente. La selección debe ser legible y el cuadro de totales debe destacar claramente.</w:t>
      </w:r>
    </w:p>
    <w:p>
      <w:pPr>
        <w:pStyle w:val="ListBullet"/>
        <w:spacing w:after="40" w:line="240" w:lineRule="auto"/>
      </w:pPr>
      <w:r>
        <w:rPr>
          <w:rFonts w:ascii="Carlito" w:hAnsi="Carlito" w:eastAsia="Carlito"/>
          <w:sz w:val="20"/>
        </w:rPr>
        <w:t>Para borrar una línea, seleccionarla antes y utilizar el botón Borrar.</w:t>
      </w:r>
    </w:p>
    <w:p>
      <w:pPr>
        <w:pStyle w:val="ListBullet"/>
        <w:spacing w:after="40" w:line="240" w:lineRule="auto"/>
      </w:pPr>
      <w:r>
        <w:rPr>
          <w:rFonts w:ascii="Carlito" w:hAnsi="Carlito" w:eastAsia="Carlito"/>
          <w:sz w:val="20"/>
        </w:rPr>
        <w:t>La operación de borrado debe comprobar que la línea es la correcta y puede requerir confirmación.</w:t>
      </w:r>
    </w:p>
    <w:p>
      <w:pPr>
        <w:pStyle w:val="ListBullet"/>
        <w:spacing w:after="40" w:line="240" w:lineRule="auto"/>
      </w:pPr>
      <w:r>
        <w:rPr>
          <w:rFonts w:ascii="Carlito" w:hAnsi="Carlito" w:eastAsia="Carlito"/>
          <w:sz w:val="20"/>
        </w:rPr>
        <w:t>Saldar debe considerar el origen del crédito: albarán, ticket o factura.</w:t>
      </w:r>
    </w:p>
    <w:p>
      <w:pPr>
        <w:pStyle w:val="ListBullet"/>
        <w:spacing w:after="40" w:line="240" w:lineRule="auto"/>
      </w:pPr>
      <w:r>
        <w:rPr>
          <w:rFonts w:ascii="Carlito" w:hAnsi="Carlito" w:eastAsia="Carlito"/>
          <w:sz w:val="20"/>
        </w:rPr>
        <w:t>El selector de series debe mostrar texto con contraste suficiente.</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HISTÓRICO: </w:t>
            </w:r>
            <w:r>
              <w:rPr>
                <w:rFonts w:ascii="Carlito" w:hAnsi="Carlito" w:eastAsia="Carlito"/>
                <w:color w:val="000000"/>
                <w:sz w:val="19"/>
              </w:rPr>
              <w:t>Las correcciones del pago no deben perder el control de los datos importados desde el histórico. Si el origen es un albarán, no debe exigirse una serie de ticket inexistente.</w:t>
            </w:r>
          </w:p>
        </w:tc>
      </w:tr>
    </w:tbl>
    <w:p>
      <w:pPr>
        <w:spacing w:after="20"/>
      </w:pPr>
    </w:p>
    <w:p>
      <w:pPr>
        <w:pStyle w:val="Heading2"/>
        <w:keepNext/>
      </w:pPr>
      <w:r>
        <w:t>6.3 Informe de IVA por períodos</w:t>
      </w:r>
    </w:p>
    <w:p>
      <w:pPr>
        <w:pStyle w:val="BodyText"/>
        <w:keepLines w:val="0"/>
        <w:spacing w:after="100" w:line="259" w:lineRule="auto"/>
        <w:ind w:left="0"/>
      </w:pPr>
      <w:r>
        <w:rPr>
          <w:rFonts w:ascii="Carlito" w:hAnsi="Carlito" w:eastAsia="Carlito"/>
          <w:i w:val="0"/>
          <w:sz w:val="21"/>
        </w:rPr>
        <w:t>El informe de IVA permite seleccionar mes, trimestre, año o un período libre. Puede obtenerse por puesto o de forma global, utilizando los datos de caja del período.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Abrir el informe de IVA por períodos.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Seleccionar el tipo de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Indicar fechas, tienda o puesto cuando corresponda.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Generar el PDF y abrir la previsualización.</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Comprobar bases, cuotas, tipos de IVA y totales.</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VALIDADO: </w:t>
            </w:r>
            <w:r>
              <w:rPr>
                <w:rFonts w:ascii="Carlito" w:hAnsi="Carlito" w:eastAsia="Carlito"/>
                <w:color w:val="000000"/>
                <w:sz w:val="19"/>
              </w:rPr>
              <w:t>La generación directa de PDF con previsualización fue comprobada como correcta.</w:t>
            </w:r>
          </w:p>
        </w:tc>
      </w:tr>
    </w:tbl>
    <w:p>
      <w:pPr>
        <w:spacing w:after="20"/>
      </w:pPr>
    </w:p>
    <w:p>
      <w:pPr>
        <w:pStyle w:val="Heading2"/>
        <w:keepNext/>
      </w:pPr>
      <w:r>
        <w:t>6.4 Errores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798"/>
            <w:shd w:fill="1F4E78"/>
            <w:vAlign w:val="center"/>
          </w:tcPr>
          <w:p>
            <w:r>
              <w:rPr>
                <w:rFonts w:ascii="Carlito" w:hAnsi="Carlito" w:eastAsia="Carlito"/>
                <w:b/>
                <w:color w:val="FFFFFF"/>
                <w:sz w:val="18"/>
              </w:rPr>
              <w:t>Síntoma</w:t>
            </w:r>
          </w:p>
        </w:tc>
        <w:tc>
          <w:tcPr>
            <w:tcW w:type="dxa" w:w="5556"/>
            <w:shd w:fill="1F4E78"/>
            <w:vAlign w:val="center"/>
          </w:tcPr>
          <w:p>
            <w:r>
              <w:rPr>
                <w:rFonts w:ascii="Carlito" w:hAnsi="Carlito" w:eastAsia="Carlito"/>
                <w:b/>
                <w:color w:val="FFFFFF"/>
                <w:sz w:val="18"/>
              </w:rPr>
              <w:t>Comprobación</w:t>
            </w:r>
          </w:p>
        </w:tc>
      </w:tr>
      <w:tr>
        <w:trPr>
          <w:cantSplit/>
        </w:trPr>
        <w:tc>
          <w:tcPr>
            <w:tcW w:type="dxa" w:w="3798"/>
            <w:vAlign w:val="center"/>
          </w:tcPr>
          <w:p>
            <w:r>
              <w:rPr>
                <w:rFonts w:ascii="Carlito" w:hAnsi="Carlito" w:eastAsia="Carlito"/>
                <w:sz w:val="18"/>
              </w:rPr>
              <w:t>No se borra un crédito</w:t>
            </w:r>
          </w:p>
        </w:tc>
        <w:tc>
          <w:tcPr>
            <w:tcW w:type="dxa" w:w="5556"/>
            <w:vAlign w:val="center"/>
          </w:tcPr>
          <w:p>
            <w:r>
              <w:rPr>
                <w:rFonts w:ascii="Carlito" w:hAnsi="Carlito" w:eastAsia="Carlito"/>
                <w:sz w:val="18"/>
              </w:rPr>
              <w:t>Seleccionar la línea, revisar el botón Borrar y confirmar permisos.</w:t>
            </w:r>
          </w:p>
        </w:tc>
      </w:tr>
      <w:tr>
        <w:trPr>
          <w:cantSplit/>
        </w:trPr>
        <w:tc>
          <w:tcPr>
            <w:tcW w:type="dxa" w:w="3798"/>
            <w:shd w:fill="F2F2F2"/>
            <w:vAlign w:val="center"/>
          </w:tcPr>
          <w:p>
            <w:r>
              <w:rPr>
                <w:rFonts w:ascii="Carlito" w:hAnsi="Carlito" w:eastAsia="Carlito"/>
                <w:sz w:val="18"/>
              </w:rPr>
              <w:t>Pide serie y número al abonar un albarán</w:t>
            </w:r>
          </w:p>
        </w:tc>
        <w:tc>
          <w:tcPr>
            <w:tcW w:type="dxa" w:w="5556"/>
            <w:shd w:fill="F2F2F2"/>
            <w:vAlign w:val="center"/>
          </w:tcPr>
          <w:p>
            <w:r>
              <w:rPr>
                <w:rFonts w:ascii="Carlito" w:hAnsi="Carlito" w:eastAsia="Carlito"/>
                <w:sz w:val="18"/>
              </w:rPr>
              <w:t>Verificar que no se está tratando el albarán como ticket.</w:t>
            </w:r>
          </w:p>
        </w:tc>
      </w:tr>
      <w:tr>
        <w:trPr>
          <w:cantSplit/>
        </w:trPr>
        <w:tc>
          <w:tcPr>
            <w:tcW w:type="dxa" w:w="3798"/>
            <w:vAlign w:val="center"/>
          </w:tcPr>
          <w:p>
            <w:r>
              <w:rPr>
                <w:rFonts w:ascii="Carlito" w:hAnsi="Carlito" w:eastAsia="Carlito"/>
                <w:sz w:val="18"/>
              </w:rPr>
              <w:t>Totales poco visibles</w:t>
            </w:r>
          </w:p>
        </w:tc>
        <w:tc>
          <w:tcPr>
            <w:tcW w:type="dxa" w:w="5556"/>
            <w:vAlign w:val="center"/>
          </w:tcPr>
          <w:p>
            <w:r>
              <w:rPr>
                <w:rFonts w:ascii="Carlito" w:hAnsi="Carlito" w:eastAsia="Carlito"/>
                <w:sz w:val="18"/>
              </w:rPr>
              <w:t>Comprobar versión del formulario y contraste de la fila seleccionada.</w:t>
            </w:r>
          </w:p>
        </w:tc>
      </w:tr>
      <w:tr>
        <w:trPr>
          <w:cantSplit/>
        </w:trPr>
        <w:tc>
          <w:tcPr>
            <w:tcW w:type="dxa" w:w="3798"/>
            <w:shd w:fill="F2F2F2"/>
            <w:vAlign w:val="center"/>
          </w:tcPr>
          <w:p>
            <w:r>
              <w:rPr>
                <w:rFonts w:ascii="Carlito" w:hAnsi="Carlito" w:eastAsia="Carlito"/>
                <w:sz w:val="18"/>
              </w:rPr>
              <w:t>Importe negativo sin signo</w:t>
            </w:r>
          </w:p>
        </w:tc>
        <w:tc>
          <w:tcPr>
            <w:tcW w:type="dxa" w:w="5556"/>
            <w:shd w:fill="F2F2F2"/>
            <w:vAlign w:val="center"/>
          </w:tcPr>
          <w:p>
            <w:r>
              <w:rPr>
                <w:rFonts w:ascii="Carlito" w:hAnsi="Carlito" w:eastAsia="Carlito"/>
                <w:sz w:val="18"/>
              </w:rPr>
              <w:t>Revisar formato y evento de dibujo del grid.</w:t>
            </w:r>
          </w:p>
        </w:tc>
      </w:tr>
    </w:tbl>
    <w:p>
      <w:pPr>
        <w:spacing w:after="40"/>
      </w:pPr>
    </w:p>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Pedido automático por proveedor en versión final provisional para pruebas reales.</w:t>
            </w:r>
          </w:p>
        </w:tc>
      </w:tr>
    </w:tbl>
    <w:p>
      <w:pPr>
        <w:spacing w:after="20"/>
      </w:pPr>
    </w:p>
    <w:p>
      <w:pPr>
        <w:pStyle w:val="Heading2"/>
        <w:keepNext/>
      </w:pPr>
      <w:r>
        <w:t>7.1 Pedidos a proveedores</w:t>
      </w:r>
    </w:p>
    <w:p>
      <w:pPr>
        <w:pStyle w:val="BodyText"/>
        <w:keepLines w:val="0"/>
        <w:spacing w:after="100" w:line="259" w:lineRule="auto"/>
        <w:ind w:left="0"/>
      </w:pPr>
      <w:r>
        <w:rPr>
          <w:rFonts w:ascii="Carlito" w:hAnsi="Carlito" w:eastAsia="Carlito"/>
          <w:i w:val="0"/>
          <w:sz w:val="21"/>
        </w:rPr>
        <w:t>Los pedidos reúnen artículos, cantidades, proveedor y condiciones de compra. Antes de generar un pedido real debe revisarse que los códigos, unidades y proveedor sean correctos.</w:t>
      </w:r>
    </w:p>
    <w:p>
      <w:pPr>
        <w:pStyle w:val="Heading2"/>
        <w:keepNext/>
      </w:pPr>
      <w:r>
        <w:t>7.2 Pedido automático por proveedor</w:t>
      </w:r>
    </w:p>
    <w:p>
      <w:pPr>
        <w:pStyle w:val="BodyText"/>
        <w:keepLines w:val="0"/>
        <w:spacing w:after="100" w:line="259" w:lineRule="auto"/>
        <w:ind w:left="0"/>
      </w:pPr>
      <w:r>
        <w:rPr>
          <w:rFonts w:ascii="Carlito" w:hAnsi="Carlito" w:eastAsia="Carlito"/>
          <w:i w:val="0"/>
          <w:sz w:val="21"/>
        </w:rPr>
        <w:t>El pedido sugerido se calcula principalmente a partir de las ventas, dado que las existencias pueden no ser totalmente fiables. El cálculo utiliza días de ventas, días de cobertura y stock disponible.</w:t>
      </w:r>
    </w:p>
    <w:p>
      <w:pPr>
        <w:pStyle w:val="BodyText"/>
        <w:keepLines w:val="0"/>
        <w:spacing w:after="100" w:line="259" w:lineRule="auto"/>
        <w:ind w:left="0"/>
      </w:pPr>
      <w:r>
        <w:rPr>
          <w:rFonts w:ascii="Carlito" w:hAnsi="Carlito" w:eastAsia="Carlito"/>
          <w:i w:val="0"/>
          <w:sz w:val="21"/>
        </w:rPr>
        <w:t>Fórmula orientativa: promedio diario de ventas x días de cobertura - stock actual. El resultado debe revisarse antes de convertirlo en pedido real.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438"/>
            <w:shd w:fill="1F4E78"/>
            <w:vAlign w:val="center"/>
          </w:tcPr>
          <w:p>
            <w:r>
              <w:rPr>
                <w:rFonts w:ascii="Carlito" w:hAnsi="Carlito" w:eastAsia="Carlito"/>
                <w:b/>
                <w:color w:val="FFFFFF"/>
                <w:sz w:val="18"/>
              </w:rPr>
              <w:t>Parámetro</w:t>
            </w:r>
          </w:p>
        </w:tc>
        <w:tc>
          <w:tcPr>
            <w:tcW w:type="dxa" w:w="6917"/>
            <w:shd w:fill="1F4E78"/>
            <w:vAlign w:val="center"/>
          </w:tcPr>
          <w:p>
            <w:r>
              <w:rPr>
                <w:rFonts w:ascii="Carlito" w:hAnsi="Carlito" w:eastAsia="Carlito"/>
                <w:b/>
                <w:color w:val="FFFFFF"/>
                <w:sz w:val="18"/>
              </w:rPr>
              <w:t>Descripción</w:t>
            </w:r>
          </w:p>
        </w:tc>
      </w:tr>
      <w:tr>
        <w:trPr>
          <w:cantSplit/>
        </w:trPr>
        <w:tc>
          <w:tcPr>
            <w:tcW w:type="dxa" w:w="2438"/>
            <w:vAlign w:val="center"/>
          </w:tcPr>
          <w:p>
            <w:r>
              <w:rPr>
                <w:rFonts w:ascii="Carlito" w:hAnsi="Carlito" w:eastAsia="Carlito"/>
                <w:sz w:val="18"/>
              </w:rPr>
              <w:t>Días de ventas</w:t>
            </w:r>
          </w:p>
        </w:tc>
        <w:tc>
          <w:tcPr>
            <w:tcW w:type="dxa" w:w="6917"/>
            <w:vAlign w:val="center"/>
          </w:tcPr>
          <w:p>
            <w:r>
              <w:rPr>
                <w:rFonts w:ascii="Carlito" w:hAnsi="Carlito" w:eastAsia="Carlito"/>
                <w:sz w:val="18"/>
              </w:rPr>
              <w:t>Período histórico utilizado para calcular el consumo medio.</w:t>
            </w:r>
          </w:p>
        </w:tc>
      </w:tr>
      <w:tr>
        <w:trPr>
          <w:cantSplit/>
        </w:trPr>
        <w:tc>
          <w:tcPr>
            <w:tcW w:type="dxa" w:w="2438"/>
            <w:shd w:fill="F2F2F2"/>
            <w:vAlign w:val="center"/>
          </w:tcPr>
          <w:p>
            <w:r>
              <w:rPr>
                <w:rFonts w:ascii="Carlito" w:hAnsi="Carlito" w:eastAsia="Carlito"/>
                <w:sz w:val="18"/>
              </w:rPr>
              <w:t>Días de cobertura</w:t>
            </w:r>
          </w:p>
        </w:tc>
        <w:tc>
          <w:tcPr>
            <w:tcW w:type="dxa" w:w="6917"/>
            <w:shd w:fill="F2F2F2"/>
            <w:vAlign w:val="center"/>
          </w:tcPr>
          <w:p>
            <w:r>
              <w:rPr>
                <w:rFonts w:ascii="Carlito" w:hAnsi="Carlito" w:eastAsia="Carlito"/>
                <w:sz w:val="18"/>
              </w:rPr>
              <w:t>Número de días que se desea cubrir con el pedido.</w:t>
            </w:r>
          </w:p>
        </w:tc>
      </w:tr>
      <w:tr>
        <w:trPr>
          <w:cantSplit/>
        </w:trPr>
        <w:tc>
          <w:tcPr>
            <w:tcW w:type="dxa" w:w="2438"/>
            <w:vAlign w:val="center"/>
          </w:tcPr>
          <w:p>
            <w:r>
              <w:rPr>
                <w:rFonts w:ascii="Carlito" w:hAnsi="Carlito" w:eastAsia="Carlito"/>
                <w:sz w:val="18"/>
              </w:rPr>
              <w:t>Proveedor</w:t>
            </w:r>
          </w:p>
        </w:tc>
        <w:tc>
          <w:tcPr>
            <w:tcW w:type="dxa" w:w="6917"/>
            <w:vAlign w:val="center"/>
          </w:tcPr>
          <w:p>
            <w:r>
              <w:rPr>
                <w:rFonts w:ascii="Carlito" w:hAnsi="Carlito" w:eastAsia="Carlito"/>
                <w:sz w:val="18"/>
              </w:rPr>
              <w:t>Filtro por proveedor seleccionado.</w:t>
            </w:r>
          </w:p>
        </w:tc>
      </w:tr>
      <w:tr>
        <w:trPr>
          <w:cantSplit/>
        </w:trPr>
        <w:tc>
          <w:tcPr>
            <w:tcW w:type="dxa" w:w="2438"/>
            <w:shd w:fill="F2F2F2"/>
            <w:vAlign w:val="center"/>
          </w:tcPr>
          <w:p>
            <w:r>
              <w:rPr>
                <w:rFonts w:ascii="Carlito" w:hAnsi="Carlito" w:eastAsia="Carlito"/>
                <w:sz w:val="18"/>
              </w:rPr>
              <w:t>Excluir sin ventas</w:t>
            </w:r>
          </w:p>
        </w:tc>
        <w:tc>
          <w:tcPr>
            <w:tcW w:type="dxa" w:w="6917"/>
            <w:shd w:fill="F2F2F2"/>
            <w:vAlign w:val="center"/>
          </w:tcPr>
          <w:p>
            <w:r>
              <w:rPr>
                <w:rFonts w:ascii="Carlito" w:hAnsi="Carlito" w:eastAsia="Carlito"/>
                <w:sz w:val="18"/>
              </w:rPr>
              <w:t>Evita sugerir artículos sin movimiento reciente.</w:t>
            </w:r>
          </w:p>
        </w:tc>
      </w:tr>
      <w:tr>
        <w:trPr>
          <w:cantSplit/>
        </w:trPr>
        <w:tc>
          <w:tcPr>
            <w:tcW w:type="dxa" w:w="2438"/>
            <w:vAlign w:val="center"/>
          </w:tcPr>
          <w:p>
            <w:r>
              <w:rPr>
                <w:rFonts w:ascii="Carlito" w:hAnsi="Carlito" w:eastAsia="Carlito"/>
                <w:sz w:val="18"/>
              </w:rPr>
              <w:t>Límite de líneas</w:t>
            </w:r>
          </w:p>
        </w:tc>
        <w:tc>
          <w:tcPr>
            <w:tcW w:type="dxa" w:w="6917"/>
            <w:vAlign w:val="center"/>
          </w:tcPr>
          <w:p>
            <w:r>
              <w:rPr>
                <w:rFonts w:ascii="Carlito" w:hAnsi="Carlito" w:eastAsia="Carlito"/>
                <w:sz w:val="18"/>
              </w:rPr>
              <w:t>Controla el tamaño de la propuesta.</w:t>
            </w:r>
          </w:p>
        </w:tc>
      </w:tr>
    </w:tbl>
    <w:p>
      <w:pPr>
        <w:spacing w:after="40"/>
      </w:pP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proveedor por código o nombre.</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días de ventas y cobertura.</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Aplicar filtros y generar la propuesta.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Ordenar columnas y revisar cantidades.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Exportar a CSV, PDF o impresión si se desea.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Crear un borrador o pedido real únicamente después de la revisión.</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NO AUTOMÁTICO: </w:t>
            </w:r>
            <w:r>
              <w:rPr>
                <w:rFonts w:ascii="Carlito" w:hAnsi="Carlito" w:eastAsia="Carlito"/>
                <w:color w:val="000000"/>
                <w:sz w:val="19"/>
              </w:rPr>
              <w:t>La sugerencia es una ayuda a la decisión, no una orden definitiva. Promociones, estacionalidad, pedidos ya enviados y cambios de proveedor pueden modificar la necesidad real.</w:t>
            </w:r>
          </w:p>
        </w:tc>
      </w:tr>
    </w:tbl>
    <w:p>
      <w:pPr>
        <w:spacing w:after="20"/>
      </w:pPr>
    </w:p>
    <w:p>
      <w:pPr>
        <w:pStyle w:val="Heading2"/>
        <w:keepNext/>
      </w:pPr>
      <w:r>
        <w:t>7.3 Actualización de existencias</w:t>
      </w:r>
    </w:p>
    <w:p>
      <w:pPr>
        <w:pStyle w:val="BodyText"/>
        <w:keepLines w:val="0"/>
        <w:spacing w:after="100" w:line="259" w:lineRule="auto"/>
        <w:ind w:left="0"/>
      </w:pPr>
      <w:r>
        <w:rPr>
          <w:rFonts w:ascii="Carlito" w:hAnsi="Carlito" w:eastAsia="Carlito"/>
          <w:i w:val="0"/>
          <w:sz w:val="21"/>
        </w:rPr>
        <w:t>La consulta de historial permite revisar todos los cambios o filtrar por artículo. Las columnas deben ser ordenables y la búsqueda sin código debe mostrar el conjunto completo de movimientos.</w:t>
      </w:r>
    </w:p>
    <w:p>
      <w:pPr>
        <w:pStyle w:val="Heading2"/>
        <w:keepNext/>
      </w:pPr>
      <w:r>
        <w:t>7.4 Importación de pedidos</w:t>
      </w:r>
    </w:p>
    <w:p>
      <w:pPr>
        <w:pStyle w:val="BodyText"/>
        <w:keepLines w:val="0"/>
        <w:spacing w:after="100" w:line="259" w:lineRule="auto"/>
        <w:ind w:left="0"/>
      </w:pPr>
      <w:r>
        <w:rPr>
          <w:rFonts w:ascii="Carlito" w:hAnsi="Carlito" w:eastAsia="Carlito"/>
          <w:i w:val="0"/>
          <w:sz w:val="21"/>
        </w:rPr>
        <w:t>Los procesos de importación deben mapear los campos por nombre cuando sea posible. El acceso posicional mediante Fields[n] puede provocar errores si cambia el orden de los campos. Antes de modificar este código debe localizarse el dataset exacto y verificar cada índice.</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DESARROLLO: </w:t>
            </w:r>
            <w:r>
              <w:rPr>
                <w:rFonts w:ascii="Carlito" w:hAnsi="Carlito" w:eastAsia="Carlito"/>
                <w:color w:val="000000"/>
                <w:sz w:val="19"/>
              </w:rPr>
              <w:t>No asumir que un índice representa siempre la misma columna. Documentar los accesos posicionales y sustituirlos progresivamente por FieldByName cuando sea seguro.</w:t>
            </w:r>
          </w:p>
        </w:tc>
      </w:tr>
    </w:tbl>
    <w:p>
      <w:pPr>
        <w:spacing w:after="20"/>
      </w:pPr>
    </w:p>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Generación de PDF y columna de descuento validadas en la revisión correspondiente. Las plantillas .lrf requieren control de compatibilidad.</w:t>
            </w:r>
          </w:p>
        </w:tc>
      </w:tr>
    </w:tbl>
    <w:p>
      <w:pPr>
        <w:spacing w:after="20"/>
      </w:pPr>
    </w:p>
    <w:p>
      <w:pPr>
        <w:pStyle w:val="Heading2"/>
        <w:keepNext/>
      </w:pPr>
      <w:r>
        <w:t>8.1 Facturación de albaranes</w:t>
      </w:r>
    </w:p>
    <w:p>
      <w:pPr>
        <w:pStyle w:val="BodyText"/>
        <w:keepLines w:val="0"/>
        <w:spacing w:after="100" w:line="259" w:lineRule="auto"/>
        <w:ind w:left="0"/>
      </w:pPr>
      <w:r>
        <w:rPr>
          <w:rFonts w:ascii="Carlito" w:hAnsi="Carlito" w:eastAsia="Carlito"/>
          <w:i w:val="0"/>
          <w:sz w:val="21"/>
        </w:rPr>
        <w:t>La facturación convierte albaranes en facturas según cliente, serie y criterios seleccionados. Antes de confirmar, revisar el período, documentos incluidos, cliente y totales.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albaranes pertenecen al cliente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 existen documentos ya facturados o anulados incluidos por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serie de factura es correcta.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líneas, descuentos e IVA coinciden con el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numeración siguiente es válida.</w:t>
            </w:r>
          </w:p>
        </w:tc>
      </w:tr>
    </w:tbl>
    <w:p>
      <w:pPr>
        <w:spacing w:after="40"/>
      </w:pPr>
    </w:p>
    <w:p>
      <w:pPr>
        <w:pStyle w:val="Heading2"/>
        <w:keepNext/>
      </w:pPr>
      <w:r>
        <w:t>8.2 Información de descuentos</w:t>
      </w:r>
    </w:p>
    <w:p>
      <w:pPr>
        <w:pStyle w:val="BodyText"/>
        <w:keepLines w:val="0"/>
        <w:spacing w:after="100" w:line="259" w:lineRule="auto"/>
        <w:ind w:left="0"/>
      </w:pPr>
      <w:r>
        <w:rPr>
          <w:rFonts w:ascii="Carlito" w:hAnsi="Carlito" w:eastAsia="Carlito"/>
          <w:i w:val="0"/>
          <w:sz w:val="21"/>
        </w:rPr>
        <w:t>Las facturas PDF deben mostrar una columna Dto entre PVP y Total línea cuando existen descuentos. El porcentaje debe presentarse con dos decimales, evitando que el total parezca incoherente respecto a cantidad y precio.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EJEMPLO: </w:t>
            </w:r>
            <w:r>
              <w:rPr>
                <w:rFonts w:ascii="Carlito" w:hAnsi="Carlito" w:eastAsia="Carlito"/>
                <w:color w:val="000000"/>
                <w:sz w:val="19"/>
              </w:rPr>
              <w:t>Cantidad 2, PVP 3,55, descuento 25,00 % y total de línea 5,33. Sin la columna Dto, el lector no puede explicar la diferencia.</w:t>
            </w:r>
          </w:p>
        </w:tc>
      </w:tr>
    </w:tbl>
    <w:p>
      <w:pPr>
        <w:spacing w:after="20"/>
      </w:pPr>
    </w:p>
    <w:p>
      <w:pPr>
        <w:pStyle w:val="Heading2"/>
        <w:keepNext/>
      </w:pPr>
      <w:r>
        <w:t>8.3 Plantillas .lrf</w:t>
      </w:r>
    </w:p>
    <w:p>
      <w:pPr>
        <w:pStyle w:val="BodyText"/>
        <w:keepLines w:val="0"/>
        <w:spacing w:after="100" w:line="259" w:lineRule="auto"/>
        <w:ind w:left="0"/>
      </w:pPr>
      <w:r>
        <w:rPr>
          <w:rFonts w:ascii="Carlito" w:hAnsi="Carlito" w:eastAsia="Carlito"/>
          <w:i w:val="0"/>
          <w:sz w:val="21"/>
        </w:rPr>
        <w:t>Las plantillas de LazReport contienen objetos y expresiones enlazadas a datasets. Si una plantilla solicita un campo inexistente, la generación se detiene con un error de cálculo.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835"/>
            <w:shd w:fill="1F4E78"/>
            <w:vAlign w:val="center"/>
          </w:tcPr>
          <w:p>
            <w:r>
              <w:rPr>
                <w:rFonts w:ascii="Carlito" w:hAnsi="Carlito" w:eastAsia="Carlito"/>
                <w:b/>
                <w:color w:val="FFFFFF"/>
                <w:sz w:val="18"/>
              </w:rPr>
              <w:t>Error</w:t>
            </w:r>
          </w:p>
        </w:tc>
        <w:tc>
          <w:tcPr>
            <w:tcW w:type="dxa" w:w="3402"/>
            <w:shd w:fill="1F4E78"/>
            <w:vAlign w:val="center"/>
          </w:tcPr>
          <w:p>
            <w:r>
              <w:rPr>
                <w:rFonts w:ascii="Carlito" w:hAnsi="Carlito" w:eastAsia="Carlito"/>
                <w:b/>
                <w:color w:val="FFFFFF"/>
                <w:sz w:val="18"/>
              </w:rPr>
              <w:t>Causa probable</w:t>
            </w:r>
          </w:p>
        </w:tc>
        <w:tc>
          <w:tcPr>
            <w:tcW w:type="dxa" w:w="3118"/>
            <w:shd w:fill="1F4E78"/>
            <w:vAlign w:val="center"/>
          </w:tcPr>
          <w:p>
            <w:r>
              <w:rPr>
                <w:rFonts w:ascii="Carlito" w:hAnsi="Carlito" w:eastAsia="Carlito"/>
                <w:b/>
                <w:color w:val="FFFFFF"/>
                <w:sz w:val="18"/>
              </w:rPr>
              <w:t>Acción</w:t>
            </w:r>
          </w:p>
        </w:tc>
      </w:tr>
      <w:tr>
        <w:trPr>
          <w:cantSplit/>
        </w:trPr>
        <w:tc>
          <w:tcPr>
            <w:tcW w:type="dxa" w:w="2835"/>
            <w:vAlign w:val="center"/>
          </w:tcPr>
          <w:p>
            <w:r>
              <w:rPr>
                <w:rFonts w:ascii="Carlito" w:hAnsi="Carlito" w:eastAsia="Carlito"/>
                <w:sz w:val="18"/>
              </w:rPr>
              <w:t>Undefined symbol dbImprimir."IMP5"</w:t>
            </w:r>
          </w:p>
        </w:tc>
        <w:tc>
          <w:tcPr>
            <w:tcW w:type="dxa" w:w="3402"/>
            <w:vAlign w:val="center"/>
          </w:tcPr>
          <w:p>
            <w:r>
              <w:rPr>
                <w:rFonts w:ascii="Carlito" w:hAnsi="Carlito" w:eastAsia="Carlito"/>
                <w:sz w:val="18"/>
              </w:rPr>
              <w:t>La plantilla contiene un Memo que referencia un campo no disponible.</w:t>
            </w:r>
          </w:p>
        </w:tc>
        <w:tc>
          <w:tcPr>
            <w:tcW w:type="dxa" w:w="3118"/>
            <w:vAlign w:val="center"/>
          </w:tcPr>
          <w:p>
            <w:r>
              <w:rPr>
                <w:rFonts w:ascii="Carlito" w:hAnsi="Carlito" w:eastAsia="Carlito"/>
                <w:sz w:val="18"/>
              </w:rPr>
              <w:t>Abrir la plantilla correcta, localizar el objeto y ajustar la expresión o proporcionar el campo.</w:t>
            </w:r>
          </w:p>
        </w:tc>
      </w:tr>
      <w:tr>
        <w:trPr>
          <w:cantSplit/>
        </w:trPr>
        <w:tc>
          <w:tcPr>
            <w:tcW w:type="dxa" w:w="2835"/>
            <w:shd w:fill="F2F2F2"/>
            <w:vAlign w:val="center"/>
          </w:tcPr>
          <w:p>
            <w:r>
              <w:rPr>
                <w:rFonts w:ascii="Carlito" w:hAnsi="Carlito" w:eastAsia="Carlito"/>
                <w:sz w:val="18"/>
              </w:rPr>
              <w:t>Error SQL cerca de AND</w:t>
            </w:r>
          </w:p>
        </w:tc>
        <w:tc>
          <w:tcPr>
            <w:tcW w:type="dxa" w:w="3402"/>
            <w:shd w:fill="F2F2F2"/>
            <w:vAlign w:val="center"/>
          </w:tcPr>
          <w:p>
            <w:r>
              <w:rPr>
                <w:rFonts w:ascii="Carlito" w:hAnsi="Carlito" w:eastAsia="Carlito"/>
                <w:sz w:val="18"/>
              </w:rPr>
              <w:t>Condición construida sin una cláusula previa o parámetro vacío.</w:t>
            </w:r>
          </w:p>
        </w:tc>
        <w:tc>
          <w:tcPr>
            <w:tcW w:type="dxa" w:w="3118"/>
            <w:shd w:fill="F2F2F2"/>
            <w:vAlign w:val="center"/>
          </w:tcPr>
          <w:p>
            <w:r>
              <w:rPr>
                <w:rFonts w:ascii="Carlito" w:hAnsi="Carlito" w:eastAsia="Carlito"/>
                <w:sz w:val="18"/>
              </w:rPr>
              <w:t>Revisar la SQL final y el valor de los filtros.</w:t>
            </w:r>
          </w:p>
        </w:tc>
      </w:tr>
      <w:tr>
        <w:trPr>
          <w:cantSplit/>
        </w:trPr>
        <w:tc>
          <w:tcPr>
            <w:tcW w:type="dxa" w:w="2835"/>
            <w:vAlign w:val="center"/>
          </w:tcPr>
          <w:p>
            <w:r>
              <w:rPr>
                <w:rFonts w:ascii="Carlito" w:hAnsi="Carlito" w:eastAsia="Carlito"/>
                <w:sz w:val="18"/>
              </w:rPr>
              <w:t>Se carga Documentos.lrf sin referencia visible</w:t>
            </w:r>
          </w:p>
        </w:tc>
        <w:tc>
          <w:tcPr>
            <w:tcW w:type="dxa" w:w="3402"/>
            <w:vAlign w:val="center"/>
          </w:tcPr>
          <w:p>
            <w:r>
              <w:rPr>
                <w:rFonts w:ascii="Carlito" w:hAnsi="Carlito" w:eastAsia="Carlito"/>
                <w:sz w:val="18"/>
              </w:rPr>
              <w:t>La ruta o el nombre puede construirse dinámicamente.</w:t>
            </w:r>
          </w:p>
        </w:tc>
        <w:tc>
          <w:tcPr>
            <w:tcW w:type="dxa" w:w="3118"/>
            <w:vAlign w:val="center"/>
          </w:tcPr>
          <w:p>
            <w:r>
              <w:rPr>
                <w:rFonts w:ascii="Carlito" w:hAnsi="Carlito" w:eastAsia="Carlito"/>
                <w:sz w:val="18"/>
              </w:rPr>
              <w:t>Buscar LoadFromFile, variables de ruta, recursos y configuración en tiempo de ejecución.</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modificar una plantilla de producción sin conservar una copia. Dos ficheros con nombres similares pueden no utilizarse en el mismo circuito.</w:t>
            </w:r>
          </w:p>
        </w:tc>
      </w:tr>
    </w:tbl>
    <w:p>
      <w:pPr>
        <w:spacing w:after="20"/>
      </w:pPr>
    </w:p>
    <w:p>
      <w:pPr>
        <w:pStyle w:val="Heading2"/>
        <w:keepNext/>
      </w:pPr>
      <w:r>
        <w:t>8.4 Generación de PDF</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documento o conjunto de documentos.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Generar el PDF.</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Abrir la previsualización.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cabecera, datos fiscales, líneas, descuentos, bases, IVA y totales.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que no existen textos cortados, columnas fuera de página o caracteres incorrectos.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Guardar o enviar únicamente después de la revisión.</w:t>
      </w:r>
    </w:p>
    <w:p>
      <w:pPr>
        <w:pStyle w:val="Heading2"/>
        <w:keepNext/>
      </w:pPr>
      <w:r>
        <w:t>8.5 Envío por correo</w:t>
      </w:r>
    </w:p>
    <w:p>
      <w:pPr>
        <w:pStyle w:val="BodyText"/>
        <w:keepLines w:val="0"/>
        <w:spacing w:after="100" w:line="259" w:lineRule="auto"/>
        <w:ind w:left="0"/>
      </w:pPr>
      <w:r>
        <w:rPr>
          <w:rFonts w:ascii="Carlito" w:hAnsi="Carlito" w:eastAsia="Carlito"/>
          <w:i w:val="0"/>
          <w:sz w:val="21"/>
        </w:rPr>
        <w:t>El envío por correo genera o adjunta el documento y muestra un mensaje de información. Los paneles de aviso deben aparecer por encima de los demás componentes y el texto no debe superponerse ni mostrarse emborronado.</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Destinatario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Asunto y cuerpo adecuados.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PDF generado y adjunto.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de progreso visible.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final verde legible y mostrado una sola vez.</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Error de envío, si existe, claramente informado.</w:t>
            </w:r>
          </w:p>
        </w:tc>
      </w:tr>
    </w:tbl>
    <w:p>
      <w:pPr>
        <w:spacing w:after="40"/>
      </w:pPr>
    </w:p>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Monitor y estructura principal conocidos. Los circuitos rectificativos deben seguir probándose con casos reales y de excepción.</w:t>
            </w:r>
          </w:p>
        </w:tc>
      </w:tr>
    </w:tbl>
    <w:p>
      <w:pPr>
        <w:spacing w:after="20"/>
      </w:pPr>
    </w:p>
    <w:p>
      <w:pPr>
        <w:pStyle w:val="Heading2"/>
        <w:keepNext/>
      </w:pPr>
      <w:r>
        <w:t>9.1 Tipos de documento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3969"/>
            <w:shd w:fill="1F4E78"/>
            <w:vAlign w:val="center"/>
          </w:tcPr>
          <w:p>
            <w:r>
              <w:rPr>
                <w:rFonts w:ascii="Carlito" w:hAnsi="Carlito" w:eastAsia="Carlito"/>
                <w:b/>
                <w:color w:val="FFFFFF"/>
                <w:sz w:val="18"/>
              </w:rPr>
              <w:t>Descripción</w:t>
            </w:r>
          </w:p>
        </w:tc>
        <w:tc>
          <w:tcPr>
            <w:tcW w:type="dxa" w:w="3118"/>
            <w:shd w:fill="1F4E78"/>
            <w:vAlign w:val="center"/>
          </w:tcPr>
          <w:p>
            <w:r>
              <w:rPr>
                <w:rFonts w:ascii="Carlito" w:hAnsi="Carlito" w:eastAsia="Carlito"/>
                <w:b/>
                <w:color w:val="FFFFFF"/>
                <w:sz w:val="18"/>
              </w:rPr>
              <w:t>Serie habitual</w:t>
            </w:r>
          </w:p>
        </w:tc>
      </w:tr>
      <w:tr>
        <w:trPr>
          <w:cantSplit/>
        </w:trPr>
        <w:tc>
          <w:tcPr>
            <w:tcW w:type="dxa" w:w="2268"/>
            <w:vAlign w:val="center"/>
          </w:tcPr>
          <w:p>
            <w:r>
              <w:rPr>
                <w:rFonts w:ascii="Carlito" w:hAnsi="Carlito" w:eastAsia="Carlito"/>
                <w:sz w:val="18"/>
              </w:rPr>
              <w:t>F1</w:t>
            </w:r>
          </w:p>
        </w:tc>
        <w:tc>
          <w:tcPr>
            <w:tcW w:type="dxa" w:w="3969"/>
            <w:vAlign w:val="center"/>
          </w:tcPr>
          <w:p>
            <w:r>
              <w:rPr>
                <w:rFonts w:ascii="Carlito" w:hAnsi="Carlito" w:eastAsia="Carlito"/>
                <w:sz w:val="18"/>
              </w:rPr>
              <w:t>Factura completa</w:t>
            </w:r>
          </w:p>
        </w:tc>
        <w:tc>
          <w:tcPr>
            <w:tcW w:type="dxa" w:w="3118"/>
            <w:vAlign w:val="center"/>
          </w:tcPr>
          <w:p>
            <w:r>
              <w:rPr>
                <w:rFonts w:ascii="Carlito" w:hAnsi="Carlito" w:eastAsia="Carlito"/>
                <w:sz w:val="18"/>
              </w:rPr>
              <w:t>Serie normal.</w:t>
            </w:r>
          </w:p>
        </w:tc>
      </w:tr>
      <w:tr>
        <w:trPr>
          <w:cantSplit/>
        </w:trPr>
        <w:tc>
          <w:tcPr>
            <w:tcW w:type="dxa" w:w="2268"/>
            <w:shd w:fill="F2F2F2"/>
            <w:vAlign w:val="center"/>
          </w:tcPr>
          <w:p>
            <w:r>
              <w:rPr>
                <w:rFonts w:ascii="Carlito" w:hAnsi="Carlito" w:eastAsia="Carlito"/>
                <w:sz w:val="18"/>
              </w:rPr>
              <w:t>F2</w:t>
            </w:r>
          </w:p>
        </w:tc>
        <w:tc>
          <w:tcPr>
            <w:tcW w:type="dxa" w:w="3969"/>
            <w:shd w:fill="F2F2F2"/>
            <w:vAlign w:val="center"/>
          </w:tcPr>
          <w:p>
            <w:r>
              <w:rPr>
                <w:rFonts w:ascii="Carlito" w:hAnsi="Carlito" w:eastAsia="Carlito"/>
                <w:sz w:val="18"/>
              </w:rPr>
              <w:t>Factura simplificada</w:t>
            </w:r>
          </w:p>
        </w:tc>
        <w:tc>
          <w:tcPr>
            <w:tcW w:type="dxa" w:w="3118"/>
            <w:shd w:fill="F2F2F2"/>
            <w:vAlign w:val="center"/>
          </w:tcPr>
          <w:p>
            <w:r>
              <w:rPr>
                <w:rFonts w:ascii="Carlito" w:hAnsi="Carlito" w:eastAsia="Carlito"/>
                <w:sz w:val="18"/>
              </w:rPr>
              <w:t>Serie con prefijo FS-.</w:t>
            </w:r>
          </w:p>
        </w:tc>
      </w:tr>
      <w:tr>
        <w:trPr>
          <w:cantSplit/>
        </w:trPr>
        <w:tc>
          <w:tcPr>
            <w:tcW w:type="dxa" w:w="2268"/>
            <w:vAlign w:val="center"/>
          </w:tcPr>
          <w:p>
            <w:r>
              <w:rPr>
                <w:rFonts w:ascii="Carlito" w:hAnsi="Carlito" w:eastAsia="Carlito"/>
                <w:sz w:val="18"/>
              </w:rPr>
              <w:t>Rectificativa normal</w:t>
            </w:r>
          </w:p>
        </w:tc>
        <w:tc>
          <w:tcPr>
            <w:tcW w:type="dxa" w:w="3969"/>
            <w:vAlign w:val="center"/>
          </w:tcPr>
          <w:p>
            <w:r>
              <w:rPr>
                <w:rFonts w:ascii="Carlito" w:hAnsi="Carlito" w:eastAsia="Carlito"/>
                <w:sz w:val="18"/>
              </w:rPr>
              <w:t>Corrige una factura completa</w:t>
            </w:r>
          </w:p>
        </w:tc>
        <w:tc>
          <w:tcPr>
            <w:tcW w:type="dxa" w:w="3118"/>
            <w:vAlign w:val="center"/>
          </w:tcPr>
          <w:p>
            <w:r>
              <w:rPr>
                <w:rFonts w:ascii="Carlito" w:hAnsi="Carlito" w:eastAsia="Carlito"/>
                <w:sz w:val="18"/>
              </w:rPr>
              <w:t>R26 u otra serie configurada.</w:t>
            </w:r>
          </w:p>
        </w:tc>
      </w:tr>
      <w:tr>
        <w:trPr>
          <w:cantSplit/>
        </w:trPr>
        <w:tc>
          <w:tcPr>
            <w:tcW w:type="dxa" w:w="2268"/>
            <w:shd w:fill="F2F2F2"/>
            <w:vAlign w:val="center"/>
          </w:tcPr>
          <w:p>
            <w:r>
              <w:rPr>
                <w:rFonts w:ascii="Carlito" w:hAnsi="Carlito" w:eastAsia="Carlito"/>
                <w:sz w:val="18"/>
              </w:rPr>
              <w:t>Rectificativa simplificada</w:t>
            </w:r>
          </w:p>
        </w:tc>
        <w:tc>
          <w:tcPr>
            <w:tcW w:type="dxa" w:w="3969"/>
            <w:shd w:fill="F2F2F2"/>
            <w:vAlign w:val="center"/>
          </w:tcPr>
          <w:p>
            <w:r>
              <w:rPr>
                <w:rFonts w:ascii="Carlito" w:hAnsi="Carlito" w:eastAsia="Carlito"/>
                <w:sz w:val="18"/>
              </w:rPr>
              <w:t>Corrige una simplificada</w:t>
            </w:r>
          </w:p>
        </w:tc>
        <w:tc>
          <w:tcPr>
            <w:tcW w:type="dxa" w:w="3118"/>
            <w:shd w:fill="F2F2F2"/>
            <w:vAlign w:val="center"/>
          </w:tcPr>
          <w:p>
            <w:r>
              <w:rPr>
                <w:rFonts w:ascii="Carlito" w:hAnsi="Carlito" w:eastAsia="Carlito"/>
                <w:sz w:val="18"/>
              </w:rPr>
              <w:t>FS-R26 u otra serie configurada.</w:t>
            </w:r>
          </w:p>
        </w:tc>
      </w:tr>
    </w:tbl>
    <w:p>
      <w:pPr>
        <w:spacing w:after="40"/>
      </w:pPr>
    </w:p>
    <w:p>
      <w:pPr>
        <w:pStyle w:val="Heading2"/>
        <w:keepNext/>
      </w:pPr>
      <w:r>
        <w:t>9.2 Cola VeriFactu</w:t>
      </w:r>
    </w:p>
    <w:p>
      <w:pPr>
        <w:pStyle w:val="BodyText"/>
        <w:keepLines w:val="0"/>
        <w:spacing w:after="100" w:line="259" w:lineRule="auto"/>
        <w:ind w:left="0"/>
      </w:pPr>
      <w:r>
        <w:rPr>
          <w:rFonts w:ascii="Carlito" w:hAnsi="Carlito" w:eastAsia="Carlito"/>
          <w:i w:val="0"/>
          <w:sz w:val="21"/>
        </w:rPr>
        <w:t>La cola conserva los datos necesarios para el envío y seguimiento: serie, número, fecha, hora, total con IVA, estado, JSON, hash, hash anterior, fecha ISO y tipo de factura.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Campo</w:t>
            </w:r>
          </w:p>
        </w:tc>
        <w:tc>
          <w:tcPr>
            <w:tcW w:type="dxa" w:w="7087"/>
            <w:shd w:fill="1F4E78"/>
            <w:vAlign w:val="center"/>
          </w:tcPr>
          <w:p>
            <w:r>
              <w:rPr>
                <w:rFonts w:ascii="Carlito" w:hAnsi="Carlito" w:eastAsia="Carlito"/>
                <w:b/>
                <w:color w:val="FFFFFF"/>
                <w:sz w:val="18"/>
              </w:rPr>
              <w:t>Función</w:t>
            </w:r>
          </w:p>
        </w:tc>
      </w:tr>
      <w:tr>
        <w:trPr>
          <w:cantSplit/>
        </w:trPr>
        <w:tc>
          <w:tcPr>
            <w:tcW w:type="dxa" w:w="2268"/>
            <w:vAlign w:val="center"/>
          </w:tcPr>
          <w:p>
            <w:r>
              <w:rPr>
                <w:rFonts w:ascii="Carlito" w:hAnsi="Carlito" w:eastAsia="Carlito"/>
                <w:sz w:val="18"/>
              </w:rPr>
              <w:t>estado</w:t>
            </w:r>
          </w:p>
        </w:tc>
        <w:tc>
          <w:tcPr>
            <w:tcW w:type="dxa" w:w="7087"/>
            <w:vAlign w:val="center"/>
          </w:tcPr>
          <w:p>
            <w:r>
              <w:rPr>
                <w:rFonts w:ascii="Carlito" w:hAnsi="Carlito" w:eastAsia="Carlito"/>
                <w:sz w:val="18"/>
              </w:rPr>
              <w:t>Situación del registro: pendiente, enviado, aceptado, error, etc.</w:t>
            </w:r>
          </w:p>
        </w:tc>
      </w:tr>
      <w:tr>
        <w:trPr>
          <w:cantSplit/>
        </w:trPr>
        <w:tc>
          <w:tcPr>
            <w:tcW w:type="dxa" w:w="2268"/>
            <w:shd w:fill="F2F2F2"/>
            <w:vAlign w:val="center"/>
          </w:tcPr>
          <w:p>
            <w:r>
              <w:rPr>
                <w:rFonts w:ascii="Carlito" w:hAnsi="Carlito" w:eastAsia="Carlito"/>
                <w:sz w:val="18"/>
              </w:rPr>
              <w:t>payload_json</w:t>
            </w:r>
          </w:p>
        </w:tc>
        <w:tc>
          <w:tcPr>
            <w:tcW w:type="dxa" w:w="7087"/>
            <w:shd w:fill="F2F2F2"/>
            <w:vAlign w:val="center"/>
          </w:tcPr>
          <w:p>
            <w:r>
              <w:rPr>
                <w:rFonts w:ascii="Carlito" w:hAnsi="Carlito" w:eastAsia="Carlito"/>
                <w:sz w:val="18"/>
              </w:rPr>
              <w:t>Contenido preparado para el envío.</w:t>
            </w:r>
          </w:p>
        </w:tc>
      </w:tr>
      <w:tr>
        <w:trPr>
          <w:cantSplit/>
        </w:trPr>
        <w:tc>
          <w:tcPr>
            <w:tcW w:type="dxa" w:w="2268"/>
            <w:vAlign w:val="center"/>
          </w:tcPr>
          <w:p>
            <w:r>
              <w:rPr>
                <w:rFonts w:ascii="Carlito" w:hAnsi="Carlito" w:eastAsia="Carlito"/>
                <w:sz w:val="18"/>
              </w:rPr>
              <w:t>hash</w:t>
            </w:r>
          </w:p>
        </w:tc>
        <w:tc>
          <w:tcPr>
            <w:tcW w:type="dxa" w:w="7087"/>
            <w:vAlign w:val="center"/>
          </w:tcPr>
          <w:p>
            <w:r>
              <w:rPr>
                <w:rFonts w:ascii="Carlito" w:hAnsi="Carlito" w:eastAsia="Carlito"/>
                <w:sz w:val="18"/>
              </w:rPr>
              <w:t>Huella SHA-256 del registro canónico y fecha.</w:t>
            </w:r>
          </w:p>
        </w:tc>
      </w:tr>
      <w:tr>
        <w:trPr>
          <w:cantSplit/>
        </w:trPr>
        <w:tc>
          <w:tcPr>
            <w:tcW w:type="dxa" w:w="2268"/>
            <w:shd w:fill="F2F2F2"/>
            <w:vAlign w:val="center"/>
          </w:tcPr>
          <w:p>
            <w:r>
              <w:rPr>
                <w:rFonts w:ascii="Carlito" w:hAnsi="Carlito" w:eastAsia="Carlito"/>
                <w:sz w:val="18"/>
              </w:rPr>
              <w:t>hash_prev</w:t>
            </w:r>
          </w:p>
        </w:tc>
        <w:tc>
          <w:tcPr>
            <w:tcW w:type="dxa" w:w="7087"/>
            <w:shd w:fill="F2F2F2"/>
            <w:vAlign w:val="center"/>
          </w:tcPr>
          <w:p>
            <w:r>
              <w:rPr>
                <w:rFonts w:ascii="Carlito" w:hAnsi="Carlito" w:eastAsia="Carlito"/>
                <w:sz w:val="18"/>
              </w:rPr>
              <w:t>Hash del registro anterior de la serie.</w:t>
            </w:r>
          </w:p>
        </w:tc>
      </w:tr>
      <w:tr>
        <w:trPr>
          <w:cantSplit/>
        </w:trPr>
        <w:tc>
          <w:tcPr>
            <w:tcW w:type="dxa" w:w="2268"/>
            <w:vAlign w:val="center"/>
          </w:tcPr>
          <w:p>
            <w:r>
              <w:rPr>
                <w:rFonts w:ascii="Carlito" w:hAnsi="Carlito" w:eastAsia="Carlito"/>
                <w:sz w:val="18"/>
              </w:rPr>
              <w:t>fecha_isoz</w:t>
            </w:r>
          </w:p>
        </w:tc>
        <w:tc>
          <w:tcPr>
            <w:tcW w:type="dxa" w:w="7087"/>
            <w:vAlign w:val="center"/>
          </w:tcPr>
          <w:p>
            <w:r>
              <w:rPr>
                <w:rFonts w:ascii="Carlito" w:hAnsi="Carlito" w:eastAsia="Carlito"/>
                <w:sz w:val="18"/>
              </w:rPr>
              <w:t>Marca temporal normalizada.</w:t>
            </w:r>
          </w:p>
        </w:tc>
      </w:tr>
      <w:tr>
        <w:trPr>
          <w:cantSplit/>
        </w:trPr>
        <w:tc>
          <w:tcPr>
            <w:tcW w:type="dxa" w:w="2268"/>
            <w:shd w:fill="F2F2F2"/>
            <w:vAlign w:val="center"/>
          </w:tcPr>
          <w:p>
            <w:r>
              <w:rPr>
                <w:rFonts w:ascii="Carlito" w:hAnsi="Carlito" w:eastAsia="Carlito"/>
                <w:sz w:val="18"/>
              </w:rPr>
              <w:t>tipo_factura</w:t>
            </w:r>
          </w:p>
        </w:tc>
        <w:tc>
          <w:tcPr>
            <w:tcW w:type="dxa" w:w="7087"/>
            <w:shd w:fill="F2F2F2"/>
            <w:vAlign w:val="center"/>
          </w:tcPr>
          <w:p>
            <w:r>
              <w:rPr>
                <w:rFonts w:ascii="Carlito" w:hAnsi="Carlito" w:eastAsia="Carlito"/>
                <w:sz w:val="18"/>
              </w:rPr>
              <w:t>F1 o F2.</w:t>
            </w:r>
          </w:p>
        </w:tc>
      </w:tr>
    </w:tbl>
    <w:p>
      <w:pPr>
        <w:spacing w:after="40"/>
      </w:pPr>
    </w:p>
    <w:p>
      <w:pPr>
        <w:pStyle w:val="Heading2"/>
        <w:keepNext/>
      </w:pPr>
      <w:r>
        <w:t>9.3 Monitor</w:t>
      </w:r>
    </w:p>
    <w:p>
      <w:pPr>
        <w:pStyle w:val="BodyText"/>
        <w:keepLines w:val="0"/>
        <w:spacing w:after="100" w:line="259" w:lineRule="auto"/>
        <w:ind w:left="0"/>
      </w:pPr>
      <w:r>
        <w:rPr>
          <w:rFonts w:ascii="Carlito" w:hAnsi="Carlito" w:eastAsia="Carlito"/>
          <w:i w:val="0"/>
          <w:sz w:val="21"/>
        </w:rPr>
        <w:t>El monitor muestra fecha, hora, serie, número, tipo, estado, resultado, intentos, hash, hash anterior y token. Debe utilizarse para distinguir un documento generado correctamente de uno realmente aceptado por Hacienda.</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INTERPRETACIÓN: </w:t>
            </w:r>
            <w:r>
              <w:rPr>
                <w:rFonts w:ascii="Carlito" w:hAnsi="Carlito" w:eastAsia="Carlito"/>
                <w:color w:val="000000"/>
                <w:sz w:val="19"/>
              </w:rPr>
              <w:t>Que un documento exista o se haya enviado no significa necesariamente que figure como Aceptado. Revisar el estado y la respuesta devuelta.</w:t>
            </w:r>
          </w:p>
        </w:tc>
      </w:tr>
    </w:tbl>
    <w:p>
      <w:pPr>
        <w:spacing w:after="20"/>
      </w:pPr>
    </w:p>
    <w:p>
      <w:pPr>
        <w:pStyle w:val="Heading2"/>
        <w:keepNext/>
      </w:pPr>
      <w:r>
        <w:t>9.4 Errores conocidos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835"/>
            <w:shd w:fill="1F4E78"/>
            <w:vAlign w:val="center"/>
          </w:tcPr>
          <w:p>
            <w:r>
              <w:rPr>
                <w:rFonts w:ascii="Carlito" w:hAnsi="Carlito" w:eastAsia="Carlito"/>
                <w:b/>
                <w:color w:val="FFFFFF"/>
                <w:sz w:val="18"/>
              </w:rPr>
              <w:t>Código / síntoma</w:t>
            </w:r>
          </w:p>
        </w:tc>
        <w:tc>
          <w:tcPr>
            <w:tcW w:type="dxa" w:w="6520"/>
            <w:shd w:fill="1F4E78"/>
            <w:vAlign w:val="center"/>
          </w:tcPr>
          <w:p>
            <w:r>
              <w:rPr>
                <w:rFonts w:ascii="Carlito" w:hAnsi="Carlito" w:eastAsia="Carlito"/>
                <w:b/>
                <w:color w:val="FFFFFF"/>
                <w:sz w:val="18"/>
              </w:rPr>
              <w:t>Interpretación orientativa</w:t>
            </w:r>
          </w:p>
        </w:tc>
      </w:tr>
      <w:tr>
        <w:trPr>
          <w:cantSplit/>
        </w:trPr>
        <w:tc>
          <w:tcPr>
            <w:tcW w:type="dxa" w:w="2835"/>
            <w:vAlign w:val="center"/>
          </w:tcPr>
          <w:p>
            <w:r>
              <w:rPr>
                <w:rFonts w:ascii="Carlito" w:hAnsi="Carlito" w:eastAsia="Carlito"/>
                <w:sz w:val="18"/>
              </w:rPr>
              <w:t>4102</w:t>
            </w:r>
          </w:p>
        </w:tc>
        <w:tc>
          <w:tcPr>
            <w:tcW w:type="dxa" w:w="6520"/>
            <w:vAlign w:val="center"/>
          </w:tcPr>
          <w:p>
            <w:r>
              <w:rPr>
                <w:rFonts w:ascii="Carlito" w:hAnsi="Carlito" w:eastAsia="Carlito"/>
                <w:sz w:val="18"/>
              </w:rPr>
              <w:t>Problema relacionado con DescripcionOperacion.</w:t>
            </w:r>
          </w:p>
        </w:tc>
      </w:tr>
      <w:tr>
        <w:trPr>
          <w:cantSplit/>
        </w:trPr>
        <w:tc>
          <w:tcPr>
            <w:tcW w:type="dxa" w:w="2835"/>
            <w:shd w:fill="F2F2F2"/>
            <w:vAlign w:val="center"/>
          </w:tcPr>
          <w:p>
            <w:r>
              <w:rPr>
                <w:rFonts w:ascii="Carlito" w:hAnsi="Carlito" w:eastAsia="Carlito"/>
                <w:sz w:val="18"/>
              </w:rPr>
              <w:t>1189</w:t>
            </w:r>
          </w:p>
        </w:tc>
        <w:tc>
          <w:tcPr>
            <w:tcW w:type="dxa" w:w="6520"/>
            <w:shd w:fill="F2F2F2"/>
            <w:vAlign w:val="center"/>
          </w:tcPr>
          <w:p>
            <w:r>
              <w:rPr>
                <w:rFonts w:ascii="Carlito" w:hAnsi="Carlito" w:eastAsia="Carlito"/>
                <w:sz w:val="18"/>
              </w:rPr>
              <w:t>Datos de destinatarios incompletos o no permitidos.</w:t>
            </w:r>
          </w:p>
        </w:tc>
      </w:tr>
      <w:tr>
        <w:trPr>
          <w:cantSplit/>
        </w:trPr>
        <w:tc>
          <w:tcPr>
            <w:tcW w:type="dxa" w:w="2835"/>
            <w:vAlign w:val="center"/>
          </w:tcPr>
          <w:p>
            <w:r>
              <w:rPr>
                <w:rFonts w:ascii="Carlito" w:hAnsi="Carlito" w:eastAsia="Carlito"/>
                <w:sz w:val="18"/>
              </w:rPr>
              <w:t>1054</w:t>
            </w:r>
          </w:p>
        </w:tc>
        <w:tc>
          <w:tcPr>
            <w:tcW w:type="dxa" w:w="6520"/>
            <w:vAlign w:val="center"/>
          </w:tcPr>
          <w:p>
            <w:r>
              <w:rPr>
                <w:rFonts w:ascii="Carlito" w:hAnsi="Carlito" w:eastAsia="Carlito"/>
                <w:sz w:val="18"/>
              </w:rPr>
              <w:t>Referencia incorrecta a payload en lugar de payload_json.</w:t>
            </w:r>
          </w:p>
        </w:tc>
      </w:tr>
      <w:tr>
        <w:trPr>
          <w:cantSplit/>
        </w:trPr>
        <w:tc>
          <w:tcPr>
            <w:tcW w:type="dxa" w:w="2835"/>
            <w:shd w:fill="F2F2F2"/>
            <w:vAlign w:val="center"/>
          </w:tcPr>
          <w:p>
            <w:r>
              <w:rPr>
                <w:rFonts w:ascii="Carlito" w:hAnsi="Carlito" w:eastAsia="Carlito"/>
                <w:sz w:val="18"/>
              </w:rPr>
              <w:t>2004</w:t>
            </w:r>
          </w:p>
        </w:tc>
        <w:tc>
          <w:tcPr>
            <w:tcW w:type="dxa" w:w="6520"/>
            <w:shd w:fill="F2F2F2"/>
            <w:vAlign w:val="center"/>
          </w:tcPr>
          <w:p>
            <w:r>
              <w:rPr>
                <w:rFonts w:ascii="Carlito" w:hAnsi="Carlito" w:eastAsia="Carlito"/>
                <w:sz w:val="18"/>
              </w:rPr>
              <w:t>Problema de timestamp o formato temporal.</w:t>
            </w:r>
          </w:p>
        </w:tc>
      </w:tr>
      <w:tr>
        <w:trPr>
          <w:cantSplit/>
        </w:trPr>
        <w:tc>
          <w:tcPr>
            <w:tcW w:type="dxa" w:w="2835"/>
            <w:vAlign w:val="center"/>
          </w:tcPr>
          <w:p>
            <w:r>
              <w:rPr>
                <w:rFonts w:ascii="Carlito" w:hAnsi="Carlito" w:eastAsia="Carlito"/>
                <w:sz w:val="18"/>
              </w:rPr>
              <w:t>Aceptado con errores en F2</w:t>
            </w:r>
          </w:p>
        </w:tc>
        <w:tc>
          <w:tcPr>
            <w:tcW w:type="dxa" w:w="6520"/>
            <w:vAlign w:val="center"/>
          </w:tcPr>
          <w:p>
            <w:r>
              <w:rPr>
                <w:rFonts w:ascii="Carlito" w:hAnsi="Carlito" w:eastAsia="Carlito"/>
                <w:sz w:val="18"/>
              </w:rPr>
              <w:t>Revisar desglose de IVA e ImporteTotal.</w:t>
            </w:r>
          </w:p>
        </w:tc>
      </w:tr>
    </w:tbl>
    <w:p>
      <w:pPr>
        <w:spacing w:after="40"/>
      </w:pPr>
    </w:p>
    <w:p>
      <w:pPr>
        <w:pStyle w:val="Heading2"/>
        <w:keepNext/>
      </w:pPr>
      <w:r>
        <w:t>9.5 Rectificativas</w:t>
      </w:r>
    </w:p>
    <w:p>
      <w:pPr>
        <w:pStyle w:val="BodyText"/>
        <w:keepLines w:val="0"/>
        <w:spacing w:after="100" w:line="259" w:lineRule="auto"/>
        <w:ind w:left="0"/>
      </w:pPr>
      <w:r>
        <w:rPr>
          <w:rFonts w:ascii="Carlito" w:hAnsi="Carlito" w:eastAsia="Carlito"/>
          <w:i w:val="0"/>
          <w:sz w:val="21"/>
        </w:rPr>
        <w:t>Cuando existen líneas negativas, el sistema puede solicitar el tipo de origen, serie, número y motivo. La relación con el documento original debe conservarse en históricos y JSON.</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Tipo de origen correcto: simplificado o normal.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del documento original.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coincidente cuando el circuito lo exige.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Motivo de rectificación informado.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Importes y signos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creado en tablas rectificativas e histórico.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generada sin duplicidad.</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CASOS SENSIBLES: </w:t>
            </w:r>
            <w:r>
              <w:rPr>
                <w:rFonts w:ascii="Carlito" w:hAnsi="Carlito" w:eastAsia="Carlito"/>
                <w:color w:val="000000"/>
                <w:sz w:val="19"/>
              </w:rPr>
              <w:t>Ventas mixtas, rectificativas manuales sin histórico y documentos aparcados requieren comprobación especial.</w:t>
            </w:r>
          </w:p>
        </w:tc>
      </w:tr>
    </w:tbl>
    <w:p>
      <w:pPr>
        <w:spacing w:after="20"/>
      </w:pPr>
    </w:p>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v0.3.1 mantiene la estructura general y corrige los capítulos de Menú principal y Ventas. Las próximas revisiones ilustrarán Configuración, Clientes, Artículos, Caja, Dashboard, facturación y VeriFactu.</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v0.3.1 - Corrección de Menú y Ventas</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pPr>
            <w:jc w:val="left"/>
          </w:pPr>
          <w:r>
            <w:t>Edición v0.3.1 - Corrección de Menú y Ventas - 25/07/2026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configuración de FacturLinEx v0.3.1</dc:title>
  <dc:subject>Corrección del Menú moderno y Ventas actualizadas</dc:subject>
  <dc:creator>FacturLinEx</dc:creator>
  <cp:keywords>FacturLinEx, manual, TPV, facturación, configuración, VeriFactu</cp:keywords>
  <dc:description>Documento vivo. Edición v0.3.1 del 25/07/2026.</dc:description>
  <cp:lastModifiedBy/>
  <cp:revision>1</cp:revision>
  <dcterms:created xsi:type="dcterms:W3CDTF">2013-12-23T23:15:00Z</dcterms:created>
  <dcterms:modified xsi:type="dcterms:W3CDTF">2013-12-23T23:15:00Z</dcterms:modified>
  <cp:category/>
</cp:coreProperties>
</file>