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59"/>
      </w:tblGrid>
      <w:tr>
        <w:trPr>
          <w:cantSplit/>
        </w:trPr>
        <w:tc>
          <w:tcPr>
            <w:tcW w:type="dxa" w:w="9859"/>
            <w:shd w:fill="17365D"/>
            <w:vAlign w:val="center"/>
          </w:tcPr>
          <w:p>
            <w:pPr>
              <w:jc w:val="center"/>
            </w:pPr>
            <w:r>
              <w:rPr>
                <w:rFonts w:ascii="Carlito" w:hAnsi="Carlito" w:eastAsia="Carlito"/>
                <w:b/>
                <w:color w:val="FFFFFF"/>
                <w:sz w:val="60"/>
              </w:rPr>
              <w:t>FACTURLINEX</w:t>
            </w:r>
          </w:p>
          <w:p>
            <w:pPr>
              <w:jc w:val="center"/>
            </w:pPr>
            <w:r>
              <w:rPr>
                <w:rFonts w:ascii="Carlito" w:hAnsi="Carlito" w:eastAsia="Carlito"/>
                <w:b/>
                <w:color w:val="FFFFFF"/>
                <w:sz w:val="40"/>
              </w:rPr>
              <w:t>Manual de uso y configuración</w:t>
            </w:r>
          </w:p>
          <w:p>
            <w:pPr>
              <w:jc w:val="center"/>
            </w:pPr>
            <w:r>
              <w:rPr>
                <w:rFonts w:ascii="Carlito" w:hAnsi="Carlito" w:eastAsia="Carlito"/>
                <w:color w:val="FFFFFF"/>
                <w:sz w:val="23"/>
              </w:rPr>
              <w:t>Guía práctica para usuarios, responsables y administración</w:t>
            </w:r>
          </w:p>
        </w:tc>
      </w:tr>
    </w:tbl>
    <w:p>
      <w:pPr>
        <w:spacing w:after="240"/>
      </w:pPr>
    </w:p>
    <w:p>
      <w:pPr>
        <w:jc w:val="center"/>
      </w:pPr>
      <w:r>
        <w:t>EDICIÓN v0.3</w:t>
      </w:r>
    </w:p>
    <w:p>
      <w:pPr>
        <w:jc w:val="center"/>
      </w:pPr>
      <w:r>
        <w:t>Edición ilustrada - Menú principal y Ventas</w:t>
      </w:r>
    </w:p>
    <w:p>
      <w:pPr>
        <w:spacing w:after="400"/>
      </w:pPr>
    </w:p>
    <w:tbl>
      <w:tblPr>
        <w:tblStyle w:val="TableGrid"/>
        <w:tblW w:type="auto" w:w="0"/>
        <w:jc w:val="center"/>
        <w:tblLook w:firstColumn="1" w:firstRow="1" w:lastColumn="0" w:lastRow="0" w:noHBand="0" w:noVBand="1" w:val="04A0"/>
      </w:tblPr>
      <w:tblGrid>
        <w:gridCol w:w="4929"/>
        <w:gridCol w:w="4929"/>
      </w:tblGrid>
      <w:tr>
        <w:trPr>
          <w:cantSplit/>
        </w:trPr>
        <w:tc>
          <w:tcPr>
            <w:tcW w:type="dxa" w:w="4929"/>
            <w:shd w:fill="DDEBF7"/>
          </w:tcPr>
          <w:p>
            <w:r>
              <w:rPr>
                <w:rFonts w:ascii="Carlito" w:hAnsi="Carlito" w:eastAsia="Carlito"/>
                <w:b/>
                <w:color w:val="17365D"/>
                <w:sz w:val="19"/>
              </w:rPr>
              <w:t>Fecha de edición</w:t>
            </w:r>
          </w:p>
        </w:tc>
        <w:tc>
          <w:tcPr>
            <w:tcW w:type="dxa" w:w="4929"/>
          </w:tcPr>
          <w:p>
            <w:r>
              <w:t>24 de julio de 2026</w:t>
            </w:r>
          </w:p>
        </w:tc>
      </w:tr>
      <w:tr>
        <w:trPr>
          <w:cantSplit/>
        </w:trPr>
        <w:tc>
          <w:tcPr>
            <w:tcW w:type="dxa" w:w="4929"/>
            <w:shd w:fill="DDEBF7"/>
          </w:tcPr>
          <w:p>
            <w:r>
              <w:rPr>
                <w:rFonts w:ascii="Carlito" w:hAnsi="Carlito" w:eastAsia="Carlito"/>
                <w:b/>
                <w:color w:val="17365D"/>
                <w:sz w:val="19"/>
              </w:rPr>
              <w:t>Estado</w:t>
            </w:r>
          </w:p>
        </w:tc>
        <w:tc>
          <w:tcPr>
            <w:tcW w:type="dxa" w:w="4929"/>
          </w:tcPr>
          <w:p>
            <w:r>
              <w:rPr>
                <w:rFonts w:ascii="Carlito" w:hAnsi="Carlito" w:eastAsia="Carlito"/>
                <w:sz w:val="19"/>
              </w:rPr>
              <w:t>Documento vivo y ampliable</w:t>
            </w:r>
          </w:p>
        </w:tc>
      </w:tr>
      <w:tr>
        <w:trPr>
          <w:cantSplit/>
        </w:trPr>
        <w:tc>
          <w:tcPr>
            <w:tcW w:type="dxa" w:w="4929"/>
            <w:shd w:fill="DDEBF7"/>
          </w:tcPr>
          <w:p>
            <w:r>
              <w:rPr>
                <w:rFonts w:ascii="Carlito" w:hAnsi="Carlito" w:eastAsia="Carlito"/>
                <w:b/>
                <w:color w:val="17365D"/>
                <w:sz w:val="19"/>
              </w:rPr>
              <w:t>Ámbito</w:t>
            </w:r>
          </w:p>
        </w:tc>
        <w:tc>
          <w:tcPr>
            <w:tcW w:type="dxa" w:w="4929"/>
          </w:tcPr>
          <w:p>
            <w:r>
              <w:rPr>
                <w:rFonts w:ascii="Carlito" w:hAnsi="Carlito" w:eastAsia="Carlito"/>
                <w:sz w:val="19"/>
              </w:rPr>
              <w:t>Uso diario, configuración, administración y solución de problemas</w:t>
            </w:r>
          </w:p>
        </w:tc>
      </w:tr>
      <w:tr>
        <w:trPr>
          <w:cantSplit/>
        </w:trPr>
        <w:tc>
          <w:tcPr>
            <w:tcW w:type="dxa" w:w="4929"/>
            <w:shd w:fill="DDEBF7"/>
          </w:tcPr>
          <w:p>
            <w:r>
              <w:rPr>
                <w:rFonts w:ascii="Carlito" w:hAnsi="Carlito" w:eastAsia="Carlito"/>
                <w:b/>
                <w:color w:val="17365D"/>
                <w:sz w:val="19"/>
              </w:rPr>
              <w:t>Referencia técnica</w:t>
            </w:r>
          </w:p>
        </w:tc>
        <w:tc>
          <w:tcPr>
            <w:tcW w:type="dxa" w:w="4929"/>
          </w:tcPr>
          <w:p>
            <w:r>
              <w:rPr>
                <w:rFonts w:ascii="Carlito" w:hAnsi="Carlito" w:eastAsia="Carlito"/>
                <w:sz w:val="19"/>
              </w:rPr>
              <w:t>FacturLinEx 2.0 / FacturLinEx 4.x en Debian y MariaDB</w:t>
            </w:r>
          </w:p>
        </w:tc>
      </w:tr>
    </w:tbl>
    <w:p>
      <w:pPr>
        <w:spacing w:before="360"/>
        <w:jc w:val="center"/>
      </w:pPr>
      <w:r>
        <w:rPr>
          <w:rFonts w:ascii="Carlito" w:hAnsi="Carlito" w:eastAsia="Carlito"/>
          <w:i/>
          <w:color w:val="666666"/>
          <w:sz w:val="20"/>
        </w:rPr>
        <w:t>Este manual se actualizará conforme se validen nuevas funciones, pantallas y procedimientos.</w:t>
      </w:r>
    </w:p>
    <w:p>
      <w:r>
        <w:br w:type="page"/>
      </w:r>
    </w:p>
    <w:p>
      <w:bookmarkStart w:id="1" w:name="control_documento"/>
      <w:pPr>
        <w:pStyle w:val="Heading1"/>
        <w:keepNext/>
      </w:pPr>
      <w:r>
        <w:t>Control del documento</w:t>
      </w:r>
      <w:bookmarkEnd w:id="1"/>
    </w:p>
    <w:p>
      <w:pPr>
        <w:pStyle w:val="BodyText"/>
        <w:keepLines w:val="0"/>
        <w:spacing w:after="100" w:line="259" w:lineRule="auto"/>
        <w:ind w:left="0"/>
      </w:pPr>
      <w:r>
        <w:t>Este manual reúne el funcionamiento conocido y validado de FacturLinEx, junto con procedimientos provisionales que todavía pueden evolucionar. La edición v0.3 incorpora capítulos ilustrados del Menú principal y de Ventas para facilitar el aprendizaje visual, la consulta diaria y la administración segura del sistema.</w:t>
      </w:r>
    </w:p>
    <w:tbl>
      <w:tblPr>
        <w:tblStyle w:val="TableGrid"/>
        <w:tblW w:type="auto" w:w="0"/>
        <w:jc w:val="center"/>
        <w:tblLook w:firstColumn="1" w:firstRow="1" w:lastColumn="0" w:lastRow="0" w:noHBand="0" w:noVBand="1" w:val="04A0"/>
      </w:tblPr>
      <w:tblGrid>
        <w:gridCol w:w="2465"/>
        <w:gridCol w:w="2465"/>
        <w:gridCol w:w="2465"/>
        <w:gridCol w:w="2465"/>
      </w:tblGrid>
      <w:tr>
        <w:trPr>
          <w:tblHeader w:val="true"/>
          <w:cantSplit/>
        </w:trPr>
        <w:tc>
          <w:tcPr>
            <w:tcW w:type="dxa" w:w="1134"/>
            <w:shd w:fill="1F4E78"/>
            <w:vAlign w:val="center"/>
          </w:tcPr>
          <w:p>
            <w:r>
              <w:rPr>
                <w:rFonts w:ascii="Carlito" w:hAnsi="Carlito" w:eastAsia="Carlito"/>
                <w:b/>
                <w:color w:val="FFFFFF"/>
                <w:sz w:val="18"/>
              </w:rPr>
              <w:t>Versión</w:t>
            </w:r>
          </w:p>
        </w:tc>
        <w:tc>
          <w:tcPr>
            <w:tcW w:type="dxa" w:w="1474"/>
            <w:shd w:fill="1F4E78"/>
            <w:vAlign w:val="center"/>
          </w:tcPr>
          <w:p>
            <w:r>
              <w:rPr>
                <w:rFonts w:ascii="Carlito" w:hAnsi="Carlito" w:eastAsia="Carlito"/>
                <w:b/>
                <w:color w:val="FFFFFF"/>
                <w:sz w:val="18"/>
              </w:rPr>
              <w:t>Fecha</w:t>
            </w:r>
          </w:p>
        </w:tc>
        <w:tc>
          <w:tcPr>
            <w:tcW w:type="dxa" w:w="5443"/>
            <w:shd w:fill="1F4E78"/>
            <w:vAlign w:val="center"/>
          </w:tcPr>
          <w:p>
            <w:r>
              <w:rPr>
                <w:rFonts w:ascii="Carlito" w:hAnsi="Carlito" w:eastAsia="Carlito"/>
                <w:b/>
                <w:color w:val="FFFFFF"/>
                <w:sz w:val="18"/>
              </w:rPr>
              <w:t>Contenido principal</w:t>
            </w:r>
          </w:p>
        </w:tc>
        <w:tc>
          <w:tcPr>
            <w:tcW w:type="dxa" w:w="1304"/>
            <w:shd w:fill="1F4E78"/>
            <w:vAlign w:val="center"/>
          </w:tcPr>
          <w:p>
            <w:r>
              <w:rPr>
                <w:rFonts w:ascii="Carlito" w:hAnsi="Carlito" w:eastAsia="Carlito"/>
                <w:b/>
                <w:color w:val="FFFFFF"/>
                <w:sz w:val="18"/>
              </w:rPr>
              <w:t>Estado</w:t>
            </w:r>
          </w:p>
        </w:tc>
      </w:tr>
      <w:tr>
        <w:trPr>
          <w:cantSplit/>
        </w:trPr>
        <w:tc>
          <w:tcPr>
            <w:tcW w:type="dxa" w:w="1134"/>
            <w:vAlign w:val="center"/>
          </w:tcPr>
          <w:p>
            <w:r>
              <w:rPr>
                <w:rFonts w:ascii="Carlito" w:hAnsi="Carlito" w:eastAsia="Carlito"/>
                <w:sz w:val="18"/>
              </w:rPr>
              <w:t>0.1</w:t>
            </w:r>
          </w:p>
        </w:tc>
        <w:tc>
          <w:tcPr>
            <w:tcW w:type="dxa" w:w="1474"/>
            <w:vAlign w:val="center"/>
          </w:tcPr>
          <w:p>
            <w:r>
              <w:rPr>
                <w:rFonts w:ascii="Carlito" w:hAnsi="Carlito" w:eastAsia="Carlito"/>
                <w:sz w:val="18"/>
              </w:rPr>
              <w:t>24/07/2026</w:t>
            </w:r>
          </w:p>
        </w:tc>
        <w:tc>
          <w:tcPr>
            <w:tcW w:type="dxa" w:w="5443"/>
            <w:vAlign w:val="center"/>
          </w:tcPr>
          <w:p>
            <w:r>
              <w:rPr>
                <w:rFonts w:ascii="Carlito" w:hAnsi="Carlito" w:eastAsia="Carlito"/>
                <w:sz w:val="18"/>
              </w:rPr>
              <w:t>Estructura general, configuración inicial, clientes, artículos, ventas, caja, créditos, impresión, VeriFactu, mantenimiento y anexos.</w:t>
            </w:r>
          </w:p>
        </w:tc>
        <w:tc>
          <w:tcPr>
            <w:tcW w:type="dxa" w:w="1304"/>
            <w:vAlign w:val="center"/>
          </w:tcPr>
          <w:p>
            <w:r>
              <w:rPr>
                <w:rFonts w:ascii="Carlito" w:hAnsi="Carlito" w:eastAsia="Carlito"/>
                <w:sz w:val="18"/>
              </w:rPr>
              <w:t>Base funcional</w:t>
            </w:r>
          </w:p>
        </w:tc>
      </w:tr>
      <w:tr>
        <w:tc>
          <w:tcPr>
            <w:tcW w:type="dxa" w:w="2465"/>
          </w:tcPr>
          <w:p>
            <w:r>
              <w:t>0.2</w:t>
            </w:r>
          </w:p>
        </w:tc>
        <w:tc>
          <w:tcPr>
            <w:tcW w:type="dxa" w:w="2465"/>
          </w:tcPr>
          <w:p>
            <w:r>
              <w:t>24/07/2026</w:t>
            </w:r>
          </w:p>
        </w:tc>
        <w:tc>
          <w:tcPr>
            <w:tcW w:type="dxa" w:w="2465"/>
          </w:tcPr>
          <w:p>
            <w:r>
              <w:t>Capítulo 5 de Ventas completamente ampliado e ilustrado con capturas reales, leyenda de zonas, flujo de trabajo, atajos y comprobaciones.</w:t>
            </w:r>
          </w:p>
        </w:tc>
        <w:tc>
          <w:tcPr>
            <w:tcW w:type="dxa" w:w="2465"/>
          </w:tcPr>
          <w:p>
            <w:r>
              <w:t>Edición ilustrada parcial</w:t>
            </w:r>
          </w:p>
        </w:tc>
      </w:tr>
      <w:tr>
        <w:tc>
          <w:tcPr>
            <w:tcW w:type="dxa" w:w="2465"/>
            <w:tcMar>
              <w:top w:w="90" w:type="dxa"/>
              <w:start w:w="100" w:type="dxa"/>
              <w:bottom w:w="90" w:type="dxa"/>
              <w:end w:w="100" w:type="dxa"/>
            </w:tcMar>
          </w:tcPr>
          <w:p>
            <w:r>
              <w:t>0.3</w:t>
            </w:r>
          </w:p>
        </w:tc>
        <w:tc>
          <w:tcPr>
            <w:tcW w:type="dxa" w:w="2465"/>
            <w:tcMar>
              <w:top w:w="90" w:type="dxa"/>
              <w:start w:w="100" w:type="dxa"/>
              <w:bottom w:w="90" w:type="dxa"/>
              <w:end w:w="100" w:type="dxa"/>
            </w:tcMar>
          </w:tcPr>
          <w:p>
            <w:r>
              <w:t>24/07/2026</w:t>
            </w:r>
          </w:p>
        </w:tc>
        <w:tc>
          <w:tcPr>
            <w:tcW w:type="dxa" w:w="2465"/>
            <w:tcMar>
              <w:top w:w="90" w:type="dxa"/>
              <w:start w:w="100" w:type="dxa"/>
              <w:bottom w:w="90" w:type="dxa"/>
              <w:end w:w="100" w:type="dxa"/>
            </w:tcMar>
          </w:tcPr>
          <w:p>
            <w:r>
              <w:t>Capítulo 1 ampliado e ilustrado con captura real del Menú principal, pestañas, módulos, accesos rápidos y barra de estado. Mantiene el capítulo 5 de Ventas ilustrado.</w:t>
            </w:r>
          </w:p>
        </w:tc>
        <w:tc>
          <w:tcPr>
            <w:tcW w:type="dxa" w:w="2465"/>
            <w:tcMar>
              <w:top w:w="90" w:type="dxa"/>
              <w:start w:w="100" w:type="dxa"/>
              <w:bottom w:w="90" w:type="dxa"/>
              <w:end w:w="100" w:type="dxa"/>
            </w:tcMar>
          </w:tcPr>
          <w:p>
            <w:r>
              <w:t>Edición ilustrada parcial</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PRINCIPIO DE SEGURIDAD: </w:t>
            </w:r>
            <w:r>
              <w:rPr>
                <w:rFonts w:ascii="Carlito" w:hAnsi="Carlito" w:eastAsia="Carlito"/>
                <w:color w:val="000000"/>
                <w:sz w:val="19"/>
              </w:rPr>
              <w:t>En FacturLinEx se aplicará siempre el criterio de cambios pequeños, verificables y reversibles. Antes de modificar datos, configuraciones o unidades del programa, debe existir una copia de seguridad válida.</w:t>
            </w:r>
          </w:p>
        </w:tc>
      </w:tr>
    </w:tbl>
    <w:p>
      <w:pPr>
        <w:spacing w:after="20"/>
      </w:pPr>
    </w:p>
    <w:p>
      <w:pPr>
        <w:pStyle w:val="Heading2"/>
        <w:keepNext/>
      </w:pPr>
      <w:r>
        <w:t>Estados utilizados</w:t>
      </w:r>
    </w:p>
    <w:tbl>
      <w:tblPr>
        <w:tblStyle w:val="TableGrid"/>
        <w:tblW w:type="auto" w:w="0"/>
        <w:jc w:val="center"/>
        <w:tblLook w:firstColumn="1" w:firstRow="1" w:lastColumn="0" w:lastRow="0" w:noHBand="0" w:noVBand="1" w:val="04A0"/>
      </w:tblPr>
      <w:tblGrid>
        <w:gridCol w:w="1701"/>
        <w:gridCol w:w="3402"/>
        <w:gridCol w:w="3969"/>
      </w:tblGrid>
      <w:tr>
        <w:trPr>
          <w:tblHeader w:val="true"/>
          <w:cantSplit/>
        </w:trPr>
        <w:tc>
          <w:tcPr>
            <w:tcW w:type="dxa" w:w="3286"/>
            <w:shd w:fill="1F4E78"/>
            <w:vAlign w:val="center"/>
          </w:tcPr>
          <w:p>
            <w:r>
              <w:rPr>
                <w:rFonts w:ascii="Carlito" w:hAnsi="Carlito" w:eastAsia="Carlito"/>
                <w:b/>
                <w:color w:val="FFFFFF"/>
                <w:sz w:val="19"/>
              </w:rPr>
              <w:t>Estado</w:t>
            </w:r>
          </w:p>
        </w:tc>
        <w:tc>
          <w:tcPr>
            <w:tcW w:type="dxa" w:w="3286"/>
            <w:shd w:fill="1F4E78"/>
            <w:vAlign w:val="center"/>
          </w:tcPr>
          <w:p>
            <w:r>
              <w:rPr>
                <w:rFonts w:ascii="Carlito" w:hAnsi="Carlito" w:eastAsia="Carlito"/>
                <w:b/>
                <w:color w:val="FFFFFF"/>
                <w:sz w:val="19"/>
              </w:rPr>
              <w:t>Significado</w:t>
            </w:r>
          </w:p>
        </w:tc>
        <w:tc>
          <w:tcPr>
            <w:tcW w:type="dxa" w:w="3286"/>
            <w:shd w:fill="1F4E78"/>
            <w:vAlign w:val="center"/>
          </w:tcPr>
          <w:p>
            <w:r>
              <w:rPr>
                <w:rFonts w:ascii="Carlito" w:hAnsi="Carlito" w:eastAsia="Carlito"/>
                <w:b/>
                <w:color w:val="FFFFFF"/>
                <w:sz w:val="19"/>
              </w:rPr>
              <w:t>Uso en el manual</w:t>
            </w:r>
          </w:p>
        </w:tc>
      </w:tr>
      <w:tr>
        <w:trPr>
          <w:cantSplit/>
        </w:trPr>
        <w:tc>
          <w:tcPr>
            <w:tcW w:type="dxa" w:w="3286"/>
            <w:shd w:fill="E2F0D9"/>
            <w:vAlign w:val="center"/>
          </w:tcPr>
          <w:p>
            <w:r>
              <w:rPr>
                <w:rFonts w:ascii="Carlito" w:hAnsi="Carlito" w:eastAsia="Carlito"/>
                <w:b/>
                <w:sz w:val="18"/>
              </w:rPr>
              <w:t>VALIDADO</w:t>
            </w:r>
          </w:p>
        </w:tc>
        <w:tc>
          <w:tcPr>
            <w:tcW w:type="dxa" w:w="3286"/>
            <w:vAlign w:val="center"/>
          </w:tcPr>
          <w:p>
            <w:r>
              <w:rPr>
                <w:rFonts w:ascii="Carlito" w:hAnsi="Carlito" w:eastAsia="Carlito"/>
                <w:b w:val="0"/>
                <w:sz w:val="18"/>
              </w:rPr>
              <w:t>Comportamiento probado y aceptado.</w:t>
            </w:r>
          </w:p>
        </w:tc>
        <w:tc>
          <w:tcPr>
            <w:tcW w:type="dxa" w:w="3286"/>
            <w:vAlign w:val="center"/>
          </w:tcPr>
          <w:p>
            <w:r>
              <w:rPr>
                <w:rFonts w:ascii="Carlito" w:hAnsi="Carlito" w:eastAsia="Carlito"/>
                <w:b w:val="0"/>
                <w:sz w:val="18"/>
              </w:rPr>
              <w:t>Puede utilizarse como procedimiento de referencia.</w:t>
            </w:r>
          </w:p>
        </w:tc>
      </w:tr>
      <w:tr>
        <w:trPr>
          <w:cantSplit/>
        </w:trPr>
        <w:tc>
          <w:tcPr>
            <w:tcW w:type="dxa" w:w="3286"/>
            <w:shd w:fill="FCE4D6"/>
            <w:vAlign w:val="center"/>
          </w:tcPr>
          <w:p>
            <w:r>
              <w:rPr>
                <w:rFonts w:ascii="Carlito" w:hAnsi="Carlito" w:eastAsia="Carlito"/>
                <w:b/>
                <w:sz w:val="18"/>
              </w:rPr>
              <w:t>PROVISIONAL</w:t>
            </w:r>
          </w:p>
        </w:tc>
        <w:tc>
          <w:tcPr>
            <w:tcW w:type="dxa" w:w="3286"/>
            <w:vAlign w:val="center"/>
          </w:tcPr>
          <w:p>
            <w:r>
              <w:rPr>
                <w:rFonts w:ascii="Carlito" w:hAnsi="Carlito" w:eastAsia="Carlito"/>
                <w:b w:val="0"/>
                <w:sz w:val="18"/>
              </w:rPr>
              <w:t>Funciona, pero está pendiente de más pruebas reales.</w:t>
            </w:r>
          </w:p>
        </w:tc>
        <w:tc>
          <w:tcPr>
            <w:tcW w:type="dxa" w:w="3286"/>
            <w:vAlign w:val="center"/>
          </w:tcPr>
          <w:p>
            <w:r>
              <w:rPr>
                <w:rFonts w:ascii="Carlito" w:hAnsi="Carlito" w:eastAsia="Carlito"/>
                <w:b w:val="0"/>
                <w:sz w:val="18"/>
              </w:rPr>
              <w:t>Usar con atención y registrar incidencias.</w:t>
            </w:r>
          </w:p>
        </w:tc>
      </w:tr>
      <w:tr>
        <w:trPr>
          <w:cantSplit/>
        </w:trPr>
        <w:tc>
          <w:tcPr>
            <w:tcW w:type="dxa" w:w="3286"/>
            <w:shd w:fill="F2F2F2"/>
            <w:vAlign w:val="center"/>
          </w:tcPr>
          <w:p>
            <w:r>
              <w:rPr>
                <w:rFonts w:ascii="Carlito" w:hAnsi="Carlito" w:eastAsia="Carlito"/>
                <w:b/>
                <w:sz w:val="18"/>
              </w:rPr>
              <w:t>PENDIENTE</w:t>
            </w:r>
          </w:p>
        </w:tc>
        <w:tc>
          <w:tcPr>
            <w:tcW w:type="dxa" w:w="3286"/>
            <w:vAlign w:val="center"/>
          </w:tcPr>
          <w:p>
            <w:r>
              <w:rPr>
                <w:rFonts w:ascii="Carlito" w:hAnsi="Carlito" w:eastAsia="Carlito"/>
                <w:b w:val="0"/>
                <w:sz w:val="18"/>
              </w:rPr>
              <w:t>Contenido todavía incompleto o sin capturas.</w:t>
            </w:r>
          </w:p>
        </w:tc>
        <w:tc>
          <w:tcPr>
            <w:tcW w:type="dxa" w:w="3286"/>
            <w:vAlign w:val="center"/>
          </w:tcPr>
          <w:p>
            <w:r>
              <w:rPr>
                <w:rFonts w:ascii="Carlito" w:hAnsi="Carlito" w:eastAsia="Carlito"/>
                <w:b w:val="0"/>
                <w:sz w:val="18"/>
              </w:rPr>
              <w:t>Se ampliará en próximas revisiones.</w:t>
            </w:r>
          </w:p>
        </w:tc>
      </w:tr>
      <w:tr>
        <w:trPr>
          <w:cantSplit/>
        </w:trPr>
        <w:tc>
          <w:tcPr>
            <w:tcW w:type="dxa" w:w="3286"/>
            <w:shd w:fill="F4CCCC"/>
            <w:vAlign w:val="center"/>
          </w:tcPr>
          <w:p>
            <w:r>
              <w:rPr>
                <w:rFonts w:ascii="Carlito" w:hAnsi="Carlito" w:eastAsia="Carlito"/>
                <w:b/>
                <w:sz w:val="18"/>
              </w:rPr>
              <w:t>CRÍTICO</w:t>
            </w:r>
          </w:p>
        </w:tc>
        <w:tc>
          <w:tcPr>
            <w:tcW w:type="dxa" w:w="3286"/>
            <w:vAlign w:val="center"/>
          </w:tcPr>
          <w:p>
            <w:r>
              <w:rPr>
                <w:rFonts w:ascii="Carlito" w:hAnsi="Carlito" w:eastAsia="Carlito"/>
                <w:b w:val="0"/>
                <w:sz w:val="18"/>
              </w:rPr>
              <w:t>Operación con impacto fiscal, contable o sobre datos.</w:t>
            </w:r>
          </w:p>
        </w:tc>
        <w:tc>
          <w:tcPr>
            <w:tcW w:type="dxa" w:w="3286"/>
            <w:vAlign w:val="center"/>
          </w:tcPr>
          <w:p>
            <w:r>
              <w:rPr>
                <w:rFonts w:ascii="Carlito" w:hAnsi="Carlito" w:eastAsia="Carlito"/>
                <w:b w:val="0"/>
                <w:sz w:val="18"/>
              </w:rPr>
              <w:t>Requiere comprobación, copia previa o permisos adecuados.</w:t>
            </w:r>
          </w:p>
        </w:tc>
      </w:tr>
    </w:tbl>
    <w:p>
      <w:pPr>
        <w:spacing w:after="40"/>
      </w:pPr>
    </w:p>
    <w:p>
      <w:pPr>
        <w:pStyle w:val="Heading2"/>
        <w:keepNext/>
      </w:pPr>
      <w:r>
        <w:t>Cómo utilizar este manual</w:t>
      </w:r>
    </w:p>
    <w:p>
      <w:pPr>
        <w:pStyle w:val="ListBullet"/>
        <w:spacing w:after="40" w:line="240" w:lineRule="auto"/>
      </w:pPr>
      <w:r>
        <w:rPr>
          <w:rFonts w:ascii="Carlito" w:hAnsi="Carlito" w:eastAsia="Carlito"/>
          <w:sz w:val="20"/>
        </w:rPr>
        <w:t>Para aprender desde cero, seguir los capítulos 1 a 6 en orden.</w:t>
      </w:r>
    </w:p>
    <w:p>
      <w:pPr>
        <w:pStyle w:val="ListBullet"/>
        <w:spacing w:after="40" w:line="240" w:lineRule="auto"/>
      </w:pPr>
      <w:r>
        <w:rPr>
          <w:rFonts w:ascii="Carlito" w:hAnsi="Carlito" w:eastAsia="Carlito"/>
          <w:sz w:val="20"/>
        </w:rPr>
        <w:t>Para una consulta rápida, utilizar el índice y el panel de navegación por títulos de Word o LibreOffice.</w:t>
      </w:r>
    </w:p>
    <w:p>
      <w:pPr>
        <w:pStyle w:val="ListBullet"/>
        <w:spacing w:after="40" w:line="240" w:lineRule="auto"/>
      </w:pPr>
      <w:r>
        <w:rPr>
          <w:rFonts w:ascii="Carlito" w:hAnsi="Carlito" w:eastAsia="Carlito"/>
          <w:sz w:val="20"/>
        </w:rPr>
        <w:t>Antes de una tarea poco habitual, revisar los avisos de seguridad y los casos especiales.</w:t>
      </w:r>
    </w:p>
    <w:p>
      <w:pPr>
        <w:pStyle w:val="ListBullet"/>
        <w:spacing w:after="40" w:line="240" w:lineRule="auto"/>
      </w:pPr>
      <w:r>
        <w:rPr>
          <w:rFonts w:ascii="Carlito" w:hAnsi="Carlito" w:eastAsia="Carlito"/>
          <w:sz w:val="20"/>
        </w:rPr>
        <w:t>Cuando una pantalla cambie, anotar la revisión del programa y actualizar únicamente el capítulo afectado.</w:t>
      </w:r>
    </w:p>
    <w:p>
      <w:pPr>
        <w:pStyle w:val="ListBullet"/>
        <w:spacing w:after="40" w:line="240" w:lineRule="auto"/>
      </w:pPr>
      <w:r>
        <w:t>Los capítulos ilustrados incorporan capturas reales de las pantallas validadas. Las imágenes de revisiones anteriores se identifican expresamente.</w:t>
      </w:r>
    </w:p>
    <w:p>
      <w:r>
        <w:br w:type="page"/>
      </w:r>
    </w:p>
    <w:p>
      <w:bookmarkStart w:id="2" w:name="indice"/>
      <w:pPr>
        <w:pStyle w:val="Heading1"/>
        <w:keepNext/>
      </w:pPr>
      <w:r>
        <w:t>Índice general</w:t>
      </w:r>
      <w:bookmarkEnd w:id="2"/>
    </w:p>
    <w:p>
      <w:pPr>
        <w:pStyle w:val="BodyText"/>
        <w:spacing w:after="80"/>
      </w:pPr>
      <w:hyperlink w:anchor="cap1" w:history="1">
        <w:r>
          <w:rPr>
            <w:color w:val="1F4E78"/>
            <w:u w:val="single"/>
            <w:rFonts w:ascii="Carlito" w:hAnsi="Carlito"/>
          </w:rPr>
          <w:t>1. Primeros pasos y navegación</w:t>
        </w:r>
      </w:hyperlink>
    </w:p>
    <w:p>
      <w:pPr>
        <w:pStyle w:val="BodyText"/>
        <w:spacing w:after="80"/>
      </w:pPr>
      <w:hyperlink w:anchor="cap2" w:history="1">
        <w:r>
          <w:rPr>
            <w:color w:val="1F4E78"/>
            <w:u w:val="single"/>
            <w:rFonts w:ascii="Carlito" w:hAnsi="Carlito"/>
          </w:rPr>
          <w:t>2. Configuración inicial</w:t>
        </w:r>
      </w:hyperlink>
    </w:p>
    <w:p>
      <w:pPr>
        <w:pStyle w:val="BodyText"/>
        <w:spacing w:after="80"/>
      </w:pPr>
      <w:hyperlink w:anchor="cap3" w:history="1">
        <w:r>
          <w:rPr>
            <w:color w:val="1F4E78"/>
            <w:u w:val="single"/>
            <w:rFonts w:ascii="Carlito" w:hAnsi="Carlito"/>
          </w:rPr>
          <w:t>3. Clientes</w:t>
        </w:r>
      </w:hyperlink>
    </w:p>
    <w:p>
      <w:pPr>
        <w:pStyle w:val="BodyText"/>
        <w:spacing w:after="80"/>
      </w:pPr>
      <w:hyperlink w:anchor="cap4" w:history="1">
        <w:r>
          <w:rPr>
            <w:color w:val="1F4E78"/>
            <w:u w:val="single"/>
            <w:rFonts w:ascii="Carlito" w:hAnsi="Carlito"/>
          </w:rPr>
          <w:t>4. Artículos, familias y tarifas</w:t>
        </w:r>
      </w:hyperlink>
    </w:p>
    <w:p>
      <w:pPr>
        <w:pStyle w:val="BodyText"/>
        <w:spacing w:after="80"/>
      </w:pPr>
      <w:hyperlink w:anchor="cap5" w:history="1">
        <w:r>
          <w:rPr>
            <w:color w:val="1F4E78"/>
            <w:u w:val="single"/>
            <w:rFonts w:ascii="Carlito" w:hAnsi="Carlito"/>
          </w:rPr>
          <w:t>5. Ventas y TPV</w:t>
        </w:r>
      </w:hyperlink>
    </w:p>
    <w:p>
      <w:pPr>
        <w:pStyle w:val="BodyText"/>
        <w:spacing w:after="80"/>
      </w:pPr>
      <w:hyperlink w:anchor="cap6" w:history="1">
        <w:r>
          <w:rPr>
            <w:color w:val="1F4E78"/>
            <w:u w:val="single"/>
            <w:rFonts w:ascii="Carlito" w:hAnsi="Carlito"/>
          </w:rPr>
          <w:t>6. Caja, cobros y créditos</w:t>
        </w:r>
      </w:hyperlink>
    </w:p>
    <w:p>
      <w:pPr>
        <w:pStyle w:val="BodyText"/>
        <w:spacing w:after="80"/>
      </w:pPr>
      <w:hyperlink w:anchor="cap7" w:history="1">
        <w:r>
          <w:rPr>
            <w:color w:val="1F4E78"/>
            <w:u w:val="single"/>
            <w:rFonts w:ascii="Carlito" w:hAnsi="Carlito"/>
          </w:rPr>
          <w:t>7. Compras, pedidos y existencias</w:t>
        </w:r>
      </w:hyperlink>
    </w:p>
    <w:p>
      <w:pPr>
        <w:pStyle w:val="BodyText"/>
        <w:spacing w:after="80"/>
      </w:pPr>
      <w:hyperlink w:anchor="cap8" w:history="1">
        <w:r>
          <w:rPr>
            <w:color w:val="1F4E78"/>
            <w:u w:val="single"/>
            <w:rFonts w:ascii="Carlito" w:hAnsi="Carlito"/>
          </w:rPr>
          <w:t>8. Facturación, impresión, PDF y correo</w:t>
        </w:r>
      </w:hyperlink>
    </w:p>
    <w:p>
      <w:pPr>
        <w:pStyle w:val="BodyText"/>
        <w:spacing w:after="80"/>
      </w:pPr>
      <w:hyperlink w:anchor="cap9" w:history="1">
        <w:r>
          <w:rPr>
            <w:color w:val="1F4E78"/>
            <w:u w:val="single"/>
            <w:rFonts w:ascii="Carlito" w:hAnsi="Carlito"/>
          </w:rPr>
          <w:t>9. VeriFactu y documentos rectificativos</w:t>
        </w:r>
      </w:hyperlink>
    </w:p>
    <w:p>
      <w:pPr>
        <w:pStyle w:val="BodyText"/>
        <w:spacing w:after="80"/>
      </w:pPr>
      <w:hyperlink w:anchor="cap10" w:history="1">
        <w:r>
          <w:rPr>
            <w:color w:val="1F4E78"/>
            <w:u w:val="single"/>
            <w:rFonts w:ascii="Carlito" w:hAnsi="Carlito"/>
          </w:rPr>
          <w:t>10. Dashboard, consultas y estadísticas</w:t>
        </w:r>
      </w:hyperlink>
    </w:p>
    <w:p>
      <w:pPr>
        <w:pStyle w:val="BodyText"/>
        <w:spacing w:after="80"/>
      </w:pPr>
      <w:hyperlink w:anchor="cap11" w:history="1">
        <w:r>
          <w:rPr>
            <w:color w:val="1F4E78"/>
            <w:u w:val="single"/>
            <w:rFonts w:ascii="Carlito" w:hAnsi="Carlito"/>
          </w:rPr>
          <w:t>11. Copias de seguridad y mantenimiento</w:t>
        </w:r>
      </w:hyperlink>
    </w:p>
    <w:p>
      <w:pPr>
        <w:pStyle w:val="BodyText"/>
        <w:spacing w:after="80"/>
      </w:pPr>
      <w:hyperlink w:anchor="cap12" w:history="1">
        <w:r>
          <w:rPr>
            <w:color w:val="1F4E78"/>
            <w:u w:val="single"/>
            <w:rFonts w:ascii="Carlito" w:hAnsi="Carlito"/>
          </w:rPr>
          <w:t>12. Solución de problemas</w:t>
        </w:r>
      </w:hyperlink>
    </w:p>
    <w:p>
      <w:pPr>
        <w:pStyle w:val="BodyText"/>
        <w:spacing w:after="80"/>
      </w:pPr>
      <w:hyperlink w:anchor="cap13" w:history="1">
        <w:r>
          <w:rPr>
            <w:color w:val="1F4E78"/>
            <w:u w:val="single"/>
            <w:rFonts w:ascii="Carlito" w:hAnsi="Carlito"/>
          </w:rPr>
          <w:t>13. Anexos y referencia rápida</w:t>
        </w:r>
      </w:hyperlink>
    </w:p>
    <w:p>
      <w:pPr>
        <w:pStyle w:val="BodyText"/>
        <w:spacing w:after="80"/>
      </w:pPr>
      <w:hyperlink w:anchor="cap14" w:history="1">
        <w:r>
          <w:rPr>
            <w:color w:val="1F4E78"/>
            <w:u w:val="single"/>
            <w:rFonts w:ascii="Carlito" w:hAnsi="Carlito"/>
          </w:rPr>
          <w:t>14. Plan de ampliación del manual</w:t>
        </w:r>
      </w:hyperlink>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NAVEGACIÓN: </w:t>
            </w:r>
            <w:r>
              <w:rPr>
                <w:rFonts w:ascii="Carlito" w:hAnsi="Carlito" w:eastAsia="Carlito"/>
                <w:color w:val="000000"/>
                <w:sz w:val="19"/>
              </w:rPr>
              <w:t>Los títulos utilizan estilos jerárquicos. En LibreOffice puede abrirse Navegador con F5; en Word, Vista &gt; Panel de navegación.</w:t>
            </w:r>
          </w:p>
        </w:tc>
      </w:tr>
    </w:tbl>
    <w:p>
      <w:pPr>
        <w:spacing w:after="20"/>
      </w:pPr>
    </w:p>
    <w:p>
      <w:r>
        <w:br w:type="page"/>
      </w:r>
    </w:p>
    <w:p>
      <w:bookmarkStart w:id="3" w:name="cap1"/>
      <w:pPr>
        <w:pStyle w:val="Heading1"/>
        <w:keepNext/>
      </w:pPr>
      <w:r>
        <w:t>1. Primeros pasos y navegación</w:t>
      </w:r>
      <w:bookmarkEnd w:id="3"/>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666666"/>
            <w:vAlign w:val="center"/>
            <w:tcBorders>
              <w:top w:val="single" w:sz="4" w:color="666666"/>
              <w:left w:val="single" w:sz="4" w:color="666666"/>
              <w:bottom w:val="single" w:sz="4" w:color="666666"/>
              <w:right w:val="single" w:sz="4" w:color="666666"/>
            </w:tcBorders>
          </w:tcPr>
          <w:p>
            <w:pPr>
              <w:jc w:val="center"/>
            </w:pPr>
            <w:r>
              <w:rPr>
                <w:rFonts w:ascii="Carlito" w:hAnsi="Carlito" w:eastAsia="Carlito"/>
                <w:sz w:val="2"/>
              </w:rPr>
            </w:r>
          </w:p>
        </w:tc>
        <w:tc>
          <w:tcPr>
            <w:tcW w:type="dxa" w:w="8957"/>
            <w:shd w:fill="E8F4EC"/>
            <w:vAlign w:val="center"/>
            <w:tcBorders>
              <w:top w:val="single" w:sz="4" w:color="666666"/>
              <w:left w:val="single" w:sz="4" w:color="666666"/>
              <w:bottom w:val="single" w:sz="4" w:color="666666"/>
              <w:right w:val="single" w:sz="4" w:color="666666"/>
            </w:tcBorders>
          </w:tcPr>
          <w:p>
            <w:r>
              <w:t>ESTADO: Capítulo ilustrado con una captura real del Menú principal. La imagen corresponde a una revisión funcional anterior compatible del 10/07/2026; la base aceptada posteriormente conserva la organización por pestañas y botones, aunque puede presentar ajustes visuales menores.</w:t>
            </w:r>
          </w:p>
        </w:tc>
      </w:tr>
    </w:tbl>
    <w:p>
      <w:pPr>
        <w:spacing w:after="20"/>
      </w:pPr>
    </w:p>
    <w:p>
      <w:pPr>
        <w:pStyle w:val="Heading2"/>
        <w:keepNext/>
      </w:pPr>
      <w:r>
        <w:t>1.1 Qué es FacturLinEx</w:t>
      </w:r>
    </w:p>
    <w:p>
      <w:pPr>
        <w:pStyle w:val="BodyText"/>
        <w:keepLines w:val="0"/>
        <w:spacing w:after="100" w:line="259" w:lineRule="auto"/>
        <w:ind w:left="0"/>
      </w:pPr>
      <w:r>
        <w:rPr>
          <w:rFonts w:ascii="Carlito" w:hAnsi="Carlito" w:eastAsia="Carlito"/>
          <w:i w:val="0"/>
          <w:sz w:val="21"/>
        </w:rPr>
        <w:t>FacturLinEx es una solución de gestión comercial, TPV y facturación orientada al trabajo diario con clientes, artículos, ventas, compras, existencias, caja, informes y obligaciones fiscales. Está diseñada para funcionar en entornos Linux con base de datos MariaDB y puede adaptarse a varias tiendas, puestos y series documentales.</w:t>
      </w:r>
    </w:p>
    <w:p>
      <w:pPr>
        <w:pStyle w:val="BodyText"/>
        <w:keepLines w:val="0"/>
        <w:spacing w:after="100" w:line="259" w:lineRule="auto"/>
        <w:ind w:left="0"/>
      </w:pPr>
      <w:r>
        <w:rPr>
          <w:rFonts w:ascii="Carlito" w:hAnsi="Carlito" w:eastAsia="Carlito"/>
          <w:i w:val="0"/>
          <w:sz w:val="21"/>
        </w:rPr>
        <w:t>La filosofía de trabajo del programa combina rapidez en el mostrador, trazabilidad de los documentos, posibilidad de uso por teclado, ratón o pantalla táctil y acceso a herramientas de mantenimiento y análisis.</w:t>
      </w:r>
    </w:p>
    <w:p>
      <w:pPr>
        <w:pStyle w:val="Heading2"/>
        <w:keepNext/>
      </w:pPr>
      <w:r>
        <w:t>1.2 Conceptos básicos</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154"/>
            <w:shd w:fill="1F4E78"/>
            <w:vAlign w:val="center"/>
          </w:tcPr>
          <w:p>
            <w:r>
              <w:rPr>
                <w:rFonts w:ascii="Carlito" w:hAnsi="Carlito" w:eastAsia="Carlito"/>
                <w:b/>
                <w:color w:val="FFFFFF"/>
                <w:sz w:val="18"/>
              </w:rPr>
              <w:t>Concepto</w:t>
            </w:r>
          </w:p>
        </w:tc>
        <w:tc>
          <w:tcPr>
            <w:tcW w:type="dxa" w:w="7200"/>
            <w:shd w:fill="1F4E78"/>
            <w:vAlign w:val="center"/>
          </w:tcPr>
          <w:p>
            <w:r>
              <w:rPr>
                <w:rFonts w:ascii="Carlito" w:hAnsi="Carlito" w:eastAsia="Carlito"/>
                <w:b/>
                <w:color w:val="FFFFFF"/>
                <w:sz w:val="18"/>
              </w:rPr>
              <w:t>Descripción</w:t>
            </w:r>
          </w:p>
        </w:tc>
      </w:tr>
      <w:tr>
        <w:trPr>
          <w:cantSplit/>
        </w:trPr>
        <w:tc>
          <w:tcPr>
            <w:tcW w:type="dxa" w:w="2154"/>
            <w:vAlign w:val="center"/>
          </w:tcPr>
          <w:p>
            <w:r>
              <w:rPr>
                <w:rFonts w:ascii="Carlito" w:hAnsi="Carlito" w:eastAsia="Carlito"/>
                <w:sz w:val="18"/>
              </w:rPr>
              <w:t>Empresa</w:t>
            </w:r>
          </w:p>
        </w:tc>
        <w:tc>
          <w:tcPr>
            <w:tcW w:type="dxa" w:w="7200"/>
            <w:vAlign w:val="center"/>
          </w:tcPr>
          <w:p>
            <w:r>
              <w:rPr>
                <w:rFonts w:ascii="Carlito" w:hAnsi="Carlito" w:eastAsia="Carlito"/>
                <w:sz w:val="18"/>
              </w:rPr>
              <w:t>Entidad cuyos datos fiscales, comerciales y de impresión utiliza el programa.</w:t>
            </w:r>
          </w:p>
        </w:tc>
      </w:tr>
      <w:tr>
        <w:trPr>
          <w:cantSplit/>
        </w:trPr>
        <w:tc>
          <w:tcPr>
            <w:tcW w:type="dxa" w:w="2154"/>
            <w:shd w:fill="F2F2F2"/>
            <w:vAlign w:val="center"/>
          </w:tcPr>
          <w:p>
            <w:r>
              <w:rPr>
                <w:rFonts w:ascii="Carlito" w:hAnsi="Carlito" w:eastAsia="Carlito"/>
                <w:sz w:val="18"/>
              </w:rPr>
              <w:t>Tienda</w:t>
            </w:r>
          </w:p>
        </w:tc>
        <w:tc>
          <w:tcPr>
            <w:tcW w:type="dxa" w:w="7200"/>
            <w:shd w:fill="F2F2F2"/>
            <w:vAlign w:val="center"/>
          </w:tcPr>
          <w:p>
            <w:r>
              <w:rPr>
                <w:rFonts w:ascii="Carlito" w:hAnsi="Carlito" w:eastAsia="Carlito"/>
                <w:sz w:val="18"/>
              </w:rPr>
              <w:t>Centro o ubicación lógica. Determina tablas, configuraciones y numeraciones asociadas.</w:t>
            </w:r>
          </w:p>
        </w:tc>
      </w:tr>
      <w:tr>
        <w:trPr>
          <w:cantSplit/>
        </w:trPr>
        <w:tc>
          <w:tcPr>
            <w:tcW w:type="dxa" w:w="2154"/>
            <w:vAlign w:val="center"/>
          </w:tcPr>
          <w:p>
            <w:r>
              <w:rPr>
                <w:rFonts w:ascii="Carlito" w:hAnsi="Carlito" w:eastAsia="Carlito"/>
                <w:sz w:val="18"/>
              </w:rPr>
              <w:t>Puesto</w:t>
            </w:r>
          </w:p>
        </w:tc>
        <w:tc>
          <w:tcPr>
            <w:tcW w:type="dxa" w:w="7200"/>
            <w:vAlign w:val="center"/>
          </w:tcPr>
          <w:p>
            <w:r>
              <w:rPr>
                <w:rFonts w:ascii="Carlito" w:hAnsi="Carlito" w:eastAsia="Carlito"/>
                <w:sz w:val="18"/>
              </w:rPr>
              <w:t>Terminal de venta identificado normalmente por una letra: A, B, C, etc.</w:t>
            </w:r>
          </w:p>
        </w:tc>
      </w:tr>
      <w:tr>
        <w:trPr>
          <w:cantSplit/>
        </w:trPr>
        <w:tc>
          <w:tcPr>
            <w:tcW w:type="dxa" w:w="2154"/>
            <w:shd w:fill="F2F2F2"/>
            <w:vAlign w:val="center"/>
          </w:tcPr>
          <w:p>
            <w:r>
              <w:rPr>
                <w:rFonts w:ascii="Carlito" w:hAnsi="Carlito" w:eastAsia="Carlito"/>
                <w:sz w:val="18"/>
              </w:rPr>
              <w:t>Usuario</w:t>
            </w:r>
          </w:p>
        </w:tc>
        <w:tc>
          <w:tcPr>
            <w:tcW w:type="dxa" w:w="7200"/>
            <w:shd w:fill="F2F2F2"/>
            <w:vAlign w:val="center"/>
          </w:tcPr>
          <w:p>
            <w:r>
              <w:rPr>
                <w:rFonts w:ascii="Carlito" w:hAnsi="Carlito" w:eastAsia="Carlito"/>
                <w:sz w:val="18"/>
              </w:rPr>
              <w:t>Persona que accede y realiza operaciones. Puede quedar registrada en ventas y procesos.</w:t>
            </w:r>
          </w:p>
        </w:tc>
      </w:tr>
      <w:tr>
        <w:trPr>
          <w:cantSplit/>
        </w:trPr>
        <w:tc>
          <w:tcPr>
            <w:tcW w:type="dxa" w:w="2154"/>
            <w:vAlign w:val="center"/>
          </w:tcPr>
          <w:p>
            <w:r>
              <w:rPr>
                <w:rFonts w:ascii="Carlito" w:hAnsi="Carlito" w:eastAsia="Carlito"/>
                <w:sz w:val="18"/>
              </w:rPr>
              <w:t>Serie</w:t>
            </w:r>
          </w:p>
        </w:tc>
        <w:tc>
          <w:tcPr>
            <w:tcW w:type="dxa" w:w="7200"/>
            <w:vAlign w:val="center"/>
          </w:tcPr>
          <w:p>
            <w:r>
              <w:rPr>
                <w:rFonts w:ascii="Carlito" w:hAnsi="Carlito" w:eastAsia="Carlito"/>
                <w:sz w:val="18"/>
              </w:rPr>
              <w:t>Prefijo o código que identifica una secuencia documental.</w:t>
            </w:r>
          </w:p>
        </w:tc>
      </w:tr>
      <w:tr>
        <w:trPr>
          <w:cantSplit/>
        </w:trPr>
        <w:tc>
          <w:tcPr>
            <w:tcW w:type="dxa" w:w="2154"/>
            <w:shd w:fill="F2F2F2"/>
            <w:vAlign w:val="center"/>
          </w:tcPr>
          <w:p>
            <w:r>
              <w:rPr>
                <w:rFonts w:ascii="Carlito" w:hAnsi="Carlito" w:eastAsia="Carlito"/>
                <w:sz w:val="18"/>
              </w:rPr>
              <w:t>Ticket simplificado</w:t>
            </w:r>
          </w:p>
        </w:tc>
        <w:tc>
          <w:tcPr>
            <w:tcW w:type="dxa" w:w="7200"/>
            <w:shd w:fill="F2F2F2"/>
            <w:vAlign w:val="center"/>
          </w:tcPr>
          <w:p>
            <w:r>
              <w:rPr>
                <w:rFonts w:ascii="Carlito" w:hAnsi="Carlito" w:eastAsia="Carlito"/>
                <w:sz w:val="18"/>
              </w:rPr>
              <w:t>Documento de venta simplificado, normalmente asociado a series FS-.</w:t>
            </w:r>
          </w:p>
        </w:tc>
      </w:tr>
      <w:tr>
        <w:trPr>
          <w:cantSplit/>
        </w:trPr>
        <w:tc>
          <w:tcPr>
            <w:tcW w:type="dxa" w:w="2154"/>
            <w:vAlign w:val="center"/>
          </w:tcPr>
          <w:p>
            <w:r>
              <w:rPr>
                <w:rFonts w:ascii="Carlito" w:hAnsi="Carlito" w:eastAsia="Carlito"/>
                <w:sz w:val="18"/>
              </w:rPr>
              <w:t>Albarán</w:t>
            </w:r>
          </w:p>
        </w:tc>
        <w:tc>
          <w:tcPr>
            <w:tcW w:type="dxa" w:w="7200"/>
            <w:vAlign w:val="center"/>
          </w:tcPr>
          <w:p>
            <w:r>
              <w:rPr>
                <w:rFonts w:ascii="Carlito" w:hAnsi="Carlito" w:eastAsia="Carlito"/>
                <w:sz w:val="18"/>
              </w:rPr>
              <w:t>Documento de entrega pendiente de facturación o tratamiento posterior.</w:t>
            </w:r>
          </w:p>
        </w:tc>
      </w:tr>
      <w:tr>
        <w:trPr>
          <w:cantSplit/>
        </w:trPr>
        <w:tc>
          <w:tcPr>
            <w:tcW w:type="dxa" w:w="2154"/>
            <w:shd w:fill="F2F2F2"/>
            <w:vAlign w:val="center"/>
          </w:tcPr>
          <w:p>
            <w:r>
              <w:rPr>
                <w:rFonts w:ascii="Carlito" w:hAnsi="Carlito" w:eastAsia="Carlito"/>
                <w:sz w:val="18"/>
              </w:rPr>
              <w:t>Factura</w:t>
            </w:r>
          </w:p>
        </w:tc>
        <w:tc>
          <w:tcPr>
            <w:tcW w:type="dxa" w:w="7200"/>
            <w:shd w:fill="F2F2F2"/>
            <w:vAlign w:val="center"/>
          </w:tcPr>
          <w:p>
            <w:r>
              <w:rPr>
                <w:rFonts w:ascii="Carlito" w:hAnsi="Carlito" w:eastAsia="Carlito"/>
                <w:sz w:val="18"/>
              </w:rPr>
              <w:t>Documento fiscal completo asociado a una serie y número.</w:t>
            </w:r>
          </w:p>
        </w:tc>
      </w:tr>
      <w:tr>
        <w:trPr>
          <w:cantSplit/>
        </w:trPr>
        <w:tc>
          <w:tcPr>
            <w:tcW w:type="dxa" w:w="2154"/>
            <w:vAlign w:val="center"/>
          </w:tcPr>
          <w:p>
            <w:r>
              <w:rPr>
                <w:rFonts w:ascii="Carlito" w:hAnsi="Carlito" w:eastAsia="Carlito"/>
                <w:sz w:val="18"/>
              </w:rPr>
              <w:t>Rectificativa</w:t>
            </w:r>
          </w:p>
        </w:tc>
        <w:tc>
          <w:tcPr>
            <w:tcW w:type="dxa" w:w="7200"/>
            <w:vAlign w:val="center"/>
          </w:tcPr>
          <w:p>
            <w:r>
              <w:rPr>
                <w:rFonts w:ascii="Carlito" w:hAnsi="Carlito" w:eastAsia="Carlito"/>
                <w:sz w:val="18"/>
              </w:rPr>
              <w:t>Documento que corrige o anula total o parcialmente otro documento.</w:t>
            </w:r>
          </w:p>
        </w:tc>
      </w:tr>
    </w:tbl>
    <w:p>
      <w:pPr>
        <w:spacing w:after="40"/>
      </w:pPr>
    </w:p>
    <w:p>
      <w:pPr>
        <w:pStyle w:val="Heading2"/>
        <w:keepNext/>
      </w:pPr>
      <w:r>
        <w:t>1.3 Menú principal</w:t>
      </w:r>
    </w:p>
    <w:p>
      <w:pPr>
        <w:pStyle w:val="BodyText"/>
        <w:keepLines w:val="0"/>
        <w:spacing w:after="100" w:line="259" w:lineRule="auto"/>
        <w:ind w:left="0"/>
      </w:pPr>
      <w:r>
        <w:t>El menú principal es el punto de entrada a FacturLinEx. Organiza las funciones en pestañas temáticas y muestra, dentro de cada una, los botones de los módulos disponibles. La configuración aceptada permite personalizar accesos y conserva submenús específicos, como Copias de seguridad en Utilidades y Otros archivos en Archivos.</w:t>
      </w:r>
    </w:p>
    <w:p>
      <w:pPr>
        <w:pStyle w:val="ListBullet"/>
        <w:spacing w:after="40" w:line="240" w:lineRule="auto"/>
      </w:pPr>
      <w:r>
        <w:t>Seleccione primero la pestaña temática; la pestaña activa debe quedar claramente diferenciada.</w:t>
      </w:r>
    </w:p>
    <w:p>
      <w:pPr>
        <w:pStyle w:val="ListBullet"/>
        <w:spacing w:after="40" w:line="240" w:lineRule="auto"/>
      </w:pPr>
      <w:r>
        <w:t>Abra el módulo mediante su botón e icono; el texto del botón identifica la función real que se ejecutará.</w:t>
      </w:r>
    </w:p>
    <w:p>
      <w:pPr>
        <w:pStyle w:val="ListBullet"/>
        <w:spacing w:after="40" w:line="240" w:lineRule="auto"/>
      </w:pPr>
      <w:r>
        <w:rPr>
          <w:rFonts w:ascii="Carlito" w:hAnsi="Carlito" w:eastAsia="Carlito"/>
          <w:sz w:val="20"/>
        </w:rPr>
        <w:t>Cuando se está en la página principal de un módulo, la tecla ESC debe ejecutar la misma acción que el botón Cerrar.</w:t>
      </w:r>
    </w:p>
    <w:p>
      <w:pPr>
        <w:pStyle w:val="ListBullet"/>
        <w:spacing w:after="40" w:line="240" w:lineRule="auto"/>
      </w:pPr>
      <w:r>
        <w:rPr>
          <w:rFonts w:ascii="Carlito" w:hAnsi="Carlito" w:eastAsia="Carlito"/>
          <w:sz w:val="20"/>
        </w:rPr>
        <w:t>Si existe un panel auxiliar, diálogo, editor modal o cambios pendientes, ESC debe cerrar o cancelar primero ese elemento, no abandonar el formulario de forma insegura.</w:t>
      </w:r>
    </w:p>
    <w:p>
      <w:pPr>
        <w:spacing w:after="40"/>
      </w:pPr>
    </w:p>
    <w:p>
      <w:pPr>
        <w:pStyle w:val="BodyText"/>
      </w:pPr>
      <w:r>
        <w:t>La siguiente pantalla es una captura real de FacturLinEx tomada el 10/07/2026. Se utiliza porque muestra con claridad la organización del menú, la pestaña Inteligencia, los accesos rápidos y la barra de estado. La revisión final aceptada del menú es posterior y puede variar en colores o distribución, pero mantiene el mismo modelo de navegación por pestañas y botones.</w:t>
      </w:r>
    </w:p>
    <w:p>
      <w:pPr>
        <w:jc w:val="center"/>
      </w:pPr>
      <w:r>
        <w:drawing>
          <wp:inline xmlns:a="http://schemas.openxmlformats.org/drawingml/2006/main" xmlns:pic="http://schemas.openxmlformats.org/drawingml/2006/picture">
            <wp:extent cx="6080760" cy="3778266"/>
            <wp:docPr id="9" name="Picture 9" descr="Menú principal de FacturLinEx con cinco zonas numeradas" title="Menú principal de FacturLinEx con cinco zonas numeradas"/>
            <wp:cNvGraphicFramePr>
              <a:graphicFrameLocks noChangeAspect="1"/>
            </wp:cNvGraphicFramePr>
            <a:graphic>
              <a:graphicData uri="http://schemas.openxmlformats.org/drawingml/2006/picture">
                <pic:pic>
                  <pic:nvPicPr>
                    <pic:cNvPr id="0" name="01_menu_principal_anotado.png"/>
                    <pic:cNvPicPr/>
                  </pic:nvPicPr>
                  <pic:blipFill>
                    <a:blip r:embed="rId21"/>
                    <a:stretch>
                      <a:fillRect/>
                    </a:stretch>
                  </pic:blipFill>
                  <pic:spPr>
                    <a:xfrm>
                      <a:off x="0" y="0"/>
                      <a:ext cx="6080760" cy="3778266"/>
                    </a:xfrm>
                    <a:prstGeom prst="rect"/>
                  </pic:spPr>
                </pic:pic>
              </a:graphicData>
            </a:graphic>
          </wp:inline>
        </w:drawing>
      </w:r>
    </w:p>
    <w:p>
      <w:pPr>
        <w:pStyle w:val="BodyText"/>
        <w:jc w:val="center"/>
      </w:pPr>
      <w:r>
        <w:rPr>
          <w:i/>
          <w:color w:val="464E5A"/>
          <w:sz w:val="18"/>
        </w:rPr>
        <w:t>Figura 1.1. Menú principal real de FacturLinEx, revisión compatible del 10/07/2026, anotado por zonas.</w:t>
      </w:r>
    </w:p>
    <w:p>
      <w:pPr>
        <w:pStyle w:val="Heading3"/>
      </w:pPr>
      <w:r>
        <w:t>1.3.1 Zonas principales del menú</w:t>
      </w:r>
    </w:p>
    <w:tbl>
      <w:tblPr>
        <w:tblStyle w:val="TableGrid"/>
        <w:tblW w:type="auto" w:w="0"/>
        <w:jc w:val="center"/>
        <w:tblLook w:firstColumn="1" w:firstRow="1" w:lastColumn="0" w:lastRow="0" w:noHBand="0" w:noVBand="1" w:val="04A0"/>
      </w:tblPr>
      <w:tblGrid>
        <w:gridCol w:w="4929"/>
        <w:gridCol w:w="4929"/>
      </w:tblGrid>
      <w:tr>
        <w:tc>
          <w:tcPr>
            <w:tcW w:type="dxa" w:w="1944"/>
            <w:vAlign w:val="center"/>
            <w:tcMar>
              <w:top w:w="90" w:type="dxa"/>
              <w:start w:w="100" w:type="dxa"/>
              <w:bottom w:w="90" w:type="dxa"/>
              <w:end w:w="100" w:type="dxa"/>
            </w:tcMar>
            <w:shd w:fill="0F5E8C"/>
          </w:tcPr>
          <w:p>
            <w:r>
              <w:rPr>
                <w:b/>
                <w:color w:val="FFFFFF"/>
              </w:rPr>
              <w:t>Zona</w:t>
            </w:r>
          </w:p>
        </w:tc>
        <w:tc>
          <w:tcPr>
            <w:tcW w:type="dxa" w:w="7200"/>
            <w:vAlign w:val="center"/>
            <w:tcMar>
              <w:top w:w="90" w:type="dxa"/>
              <w:start w:w="100" w:type="dxa"/>
              <w:bottom w:w="90" w:type="dxa"/>
              <w:end w:w="100" w:type="dxa"/>
            </w:tcMar>
            <w:shd w:fill="0F5E8C"/>
          </w:tcPr>
          <w:p>
            <w:r>
              <w:rPr>
                <w:b/>
                <w:color w:val="FFFFFF"/>
              </w:rPr>
              <w:t>Contenido y uso</w:t>
            </w:r>
          </w:p>
        </w:tc>
      </w:tr>
      <w:tr>
        <w:tc>
          <w:tcPr>
            <w:tcW w:type="dxa" w:w="1944"/>
            <w:vAlign w:val="center"/>
            <w:tcMar>
              <w:top w:w="90" w:type="dxa"/>
              <w:start w:w="100" w:type="dxa"/>
              <w:bottom w:w="90" w:type="dxa"/>
              <w:end w:w="100" w:type="dxa"/>
            </w:tcMar>
          </w:tcPr>
          <w:p>
            <w:r>
              <w:t>1. Pestañas</w:t>
            </w:r>
          </w:p>
        </w:tc>
        <w:tc>
          <w:tcPr>
            <w:tcW w:type="dxa" w:w="7200"/>
            <w:vAlign w:val="center"/>
            <w:tcMar>
              <w:top w:w="90" w:type="dxa"/>
              <w:start w:w="100" w:type="dxa"/>
              <w:bottom w:w="90" w:type="dxa"/>
              <w:end w:w="100" w:type="dxa"/>
            </w:tcMar>
          </w:tcPr>
          <w:p>
            <w:r>
              <w:t>Agrupan los módulos por actividad: ventas, archivos, listados, pedidos, históricos, inteligencia, utilidades, VeriFactu y otras áreas.</w:t>
            </w:r>
          </w:p>
        </w:tc>
      </w:tr>
      <w:tr>
        <w:tc>
          <w:tcPr>
            <w:tcW w:type="dxa" w:w="1944"/>
            <w:vAlign w:val="center"/>
            <w:tcMar>
              <w:top w:w="90" w:type="dxa"/>
              <w:start w:w="100" w:type="dxa"/>
              <w:bottom w:w="90" w:type="dxa"/>
              <w:end w:w="100" w:type="dxa"/>
            </w:tcMar>
            <w:shd w:fill="EEF5FA"/>
          </w:tcPr>
          <w:p>
            <w:r>
              <w:t>2. Botones de módulos</w:t>
            </w:r>
          </w:p>
        </w:tc>
        <w:tc>
          <w:tcPr>
            <w:tcW w:type="dxa" w:w="7200"/>
            <w:vAlign w:val="center"/>
            <w:tcMar>
              <w:top w:w="90" w:type="dxa"/>
              <w:start w:w="100" w:type="dxa"/>
              <w:bottom w:w="90" w:type="dxa"/>
              <w:end w:w="100" w:type="dxa"/>
            </w:tcMar>
            <w:shd w:fill="EEF5FA"/>
          </w:tcPr>
          <w:p>
            <w:r>
              <w:t>Abren las funciones disponibles dentro de la pestaña seleccionada. El icono y el texto ayudan a reconocer la tarea.</w:t>
            </w:r>
          </w:p>
        </w:tc>
      </w:tr>
      <w:tr>
        <w:tc>
          <w:tcPr>
            <w:tcW w:type="dxa" w:w="1944"/>
            <w:vAlign w:val="center"/>
            <w:tcMar>
              <w:top w:w="90" w:type="dxa"/>
              <w:start w:w="100" w:type="dxa"/>
              <w:bottom w:w="90" w:type="dxa"/>
              <w:end w:w="100" w:type="dxa"/>
            </w:tcMar>
          </w:tcPr>
          <w:p>
            <w:r>
              <w:t>3. Fondo e identidad</w:t>
            </w:r>
          </w:p>
        </w:tc>
        <w:tc>
          <w:tcPr>
            <w:tcW w:type="dxa" w:w="7200"/>
            <w:vAlign w:val="center"/>
            <w:tcMar>
              <w:top w:w="90" w:type="dxa"/>
              <w:start w:w="100" w:type="dxa"/>
              <w:bottom w:w="90" w:type="dxa"/>
              <w:end w:w="100" w:type="dxa"/>
            </w:tcMar>
          </w:tcPr>
          <w:p>
            <w:r>
              <w:t>Conserva la imagen y el aspecto propio del sistema. No es una zona de entrada de datos.</w:t>
            </w:r>
          </w:p>
        </w:tc>
      </w:tr>
      <w:tr>
        <w:tc>
          <w:tcPr>
            <w:tcW w:type="dxa" w:w="1944"/>
            <w:vAlign w:val="center"/>
            <w:tcMar>
              <w:top w:w="90" w:type="dxa"/>
              <w:start w:w="100" w:type="dxa"/>
              <w:bottom w:w="90" w:type="dxa"/>
              <w:end w:w="100" w:type="dxa"/>
            </w:tcMar>
            <w:shd w:fill="EEF5FA"/>
          </w:tcPr>
          <w:p>
            <w:r>
              <w:t>4. Accesos rápidos</w:t>
            </w:r>
          </w:p>
        </w:tc>
        <w:tc>
          <w:tcPr>
            <w:tcW w:type="dxa" w:w="7200"/>
            <w:vAlign w:val="center"/>
            <w:tcMar>
              <w:top w:w="90" w:type="dxa"/>
              <w:start w:w="100" w:type="dxa"/>
              <w:bottom w:w="90" w:type="dxa"/>
              <w:end w:w="100" w:type="dxa"/>
            </w:tcMar>
            <w:shd w:fill="EEF5FA"/>
          </w:tcPr>
          <w:p>
            <w:r>
              <w:t>Atajos permanentes a funciones de uso frecuente, visibles sin cambiar de pestaña.</w:t>
            </w:r>
          </w:p>
        </w:tc>
      </w:tr>
      <w:tr>
        <w:tc>
          <w:tcPr>
            <w:tcW w:type="dxa" w:w="1944"/>
            <w:vAlign w:val="center"/>
            <w:tcMar>
              <w:top w:w="90" w:type="dxa"/>
              <w:start w:w="100" w:type="dxa"/>
              <w:bottom w:w="90" w:type="dxa"/>
              <w:end w:w="100" w:type="dxa"/>
            </w:tcMar>
          </w:tcPr>
          <w:p>
            <w:r>
              <w:t>5. Barra de estado</w:t>
            </w:r>
          </w:p>
        </w:tc>
        <w:tc>
          <w:tcPr>
            <w:tcW w:type="dxa" w:w="7200"/>
            <w:vAlign w:val="center"/>
            <w:tcMar>
              <w:top w:w="90" w:type="dxa"/>
              <w:start w:w="100" w:type="dxa"/>
              <w:bottom w:w="90" w:type="dxa"/>
              <w:end w:w="100" w:type="dxa"/>
            </w:tcMar>
          </w:tcPr>
          <w:p>
            <w:r>
              <w:t>Informa del entorno, cola VeriFactu, servidor/BBDD y motor de tablas.</w:t>
            </w:r>
          </w:p>
        </w:tc>
      </w:tr>
    </w:tbl>
    <w:p>
      <w:pPr>
        <w:pStyle w:val="Heading3"/>
      </w:pPr>
      <w:r>
        <w:t>1.3.2 Pestañas y módulos</w:t>
      </w:r>
    </w:p>
    <w:p>
      <w:pPr>
        <w:jc w:val="center"/>
      </w:pPr>
      <w:r>
        <w:drawing>
          <wp:inline xmlns:a="http://schemas.openxmlformats.org/drawingml/2006/main" xmlns:pic="http://schemas.openxmlformats.org/drawingml/2006/picture">
            <wp:extent cx="6080760" cy="478292"/>
            <wp:docPr id="10" name="Picture 10" descr="Detalle de pestañas y botones de módulos del menú principal" title="Detalle de pestañas y botones de módulos del menú principal"/>
            <wp:cNvGraphicFramePr>
              <a:graphicFrameLocks noChangeAspect="1"/>
            </wp:cNvGraphicFramePr>
            <a:graphic>
              <a:graphicData uri="http://schemas.openxmlformats.org/drawingml/2006/picture">
                <pic:pic>
                  <pic:nvPicPr>
                    <pic:cNvPr id="0" name="02_pestanas_y_modulos.png"/>
                    <pic:cNvPicPr/>
                  </pic:nvPicPr>
                  <pic:blipFill>
                    <a:blip r:embed="rId22"/>
                    <a:stretch>
                      <a:fillRect/>
                    </a:stretch>
                  </pic:blipFill>
                  <pic:spPr>
                    <a:xfrm>
                      <a:off x="0" y="0"/>
                      <a:ext cx="6080760" cy="478292"/>
                    </a:xfrm>
                    <a:prstGeom prst="rect"/>
                  </pic:spPr>
                </pic:pic>
              </a:graphicData>
            </a:graphic>
          </wp:inline>
        </w:drawing>
      </w:r>
    </w:p>
    <w:p>
      <w:pPr>
        <w:pStyle w:val="BodyText"/>
        <w:jc w:val="center"/>
      </w:pPr>
      <w:r>
        <w:rPr>
          <w:i/>
          <w:color w:val="464E5A"/>
          <w:sz w:val="18"/>
        </w:rPr>
        <w:t>Figura 1.2. Detalle real de las pestañas y de los módulos de la pestaña Inteligencia.</w:t>
      </w:r>
    </w:p>
    <w:p>
      <w:pPr>
        <w:pStyle w:val="BodyText"/>
      </w:pPr>
      <w:r>
        <w:t>En la captura aparecen las pestañas Ventas, Archivos, Listados, Pedidos, Históricos, Etiquetas, Comunicaciones, Inteligencia, Utilidades, Extras, Veri*Factu, Ayuda y Finalizar. El contenido de la franja de botones cambia al seleccionar otra pestaña.</w:t>
      </w:r>
    </w:p>
    <w:p>
      <w:pPr>
        <w:pStyle w:val="BodyText"/>
      </w:pPr>
      <w:r>
        <w:t>La pestaña Inteligencia muestra accesos como Doctor, Alertas, Asistente, Precios, Rentabilidad, Proveedores, Asesor Compras, Centro Intelig., Mantenimiento, Tendencias, Predicciones y Acciones. Los módulos disponibles pueden variar según la versión instalada y la personalización del menú.</w:t>
      </w:r>
    </w:p>
    <w:p>
      <w:pPr>
        <w:pStyle w:val="BodyText"/>
      </w:pPr>
      <w:r>
        <w:t>Procedimiento recomendado:</w:t>
      </w:r>
    </w:p>
    <w:p>
      <w:pPr>
        <w:pStyle w:val="BodyText"/>
      </w:pPr>
      <w:r>
        <w:t>1. Seleccionar la pestaña que corresponda a la tarea.</w:t>
      </w:r>
    </w:p>
    <w:p>
      <w:pPr>
        <w:pStyle w:val="BodyText"/>
      </w:pPr>
      <w:r>
        <w:t>2. Leer el texto del botón antes de abrir el módulo.</w:t>
      </w:r>
    </w:p>
    <w:p>
      <w:pPr>
        <w:pStyle w:val="BodyText"/>
      </w:pPr>
      <w:r>
        <w:t>3. Abrir el módulo con un solo clic y esperar a que el formulario termine de cargarse.</w:t>
      </w:r>
    </w:p>
    <w:p>
      <w:pPr>
        <w:pStyle w:val="BodyText"/>
      </w:pPr>
      <w:r>
        <w:t>4. Al regresar, comprobar que se vuelve al menú y que no queda un diálogo oculto.</w:t>
      </w:r>
    </w:p>
    <w:p>
      <w:pPr>
        <w:pStyle w:val="Heading3"/>
      </w:pPr>
      <w:r>
        <w:t>1.3.3 Fondo y accesos rápidos</w:t>
      </w:r>
    </w:p>
    <w:p>
      <w:pPr>
        <w:jc w:val="center"/>
      </w:pPr>
      <w:r>
        <w:drawing>
          <wp:inline xmlns:a="http://schemas.openxmlformats.org/drawingml/2006/main" xmlns:pic="http://schemas.openxmlformats.org/drawingml/2006/picture">
            <wp:extent cx="4343400" cy="1966991"/>
            <wp:docPr id="11" name="Picture 11" descr="Accesos rápidos Agenda y Pedidos en la parte inferior del menú" title="Accesos rápidos Agenda y Pedidos en la parte inferior del menú"/>
            <wp:cNvGraphicFramePr>
              <a:graphicFrameLocks noChangeAspect="1"/>
            </wp:cNvGraphicFramePr>
            <a:graphic>
              <a:graphicData uri="http://schemas.openxmlformats.org/drawingml/2006/picture">
                <pic:pic>
                  <pic:nvPicPr>
                    <pic:cNvPr id="0" name="03_accesos_rapidos.png"/>
                    <pic:cNvPicPr/>
                  </pic:nvPicPr>
                  <pic:blipFill>
                    <a:blip r:embed="rId23"/>
                    <a:stretch>
                      <a:fillRect/>
                    </a:stretch>
                  </pic:blipFill>
                  <pic:spPr>
                    <a:xfrm>
                      <a:off x="0" y="0"/>
                      <a:ext cx="4343400" cy="1966991"/>
                    </a:xfrm>
                    <a:prstGeom prst="rect"/>
                  </pic:spPr>
                </pic:pic>
              </a:graphicData>
            </a:graphic>
          </wp:inline>
        </w:drawing>
      </w:r>
    </w:p>
    <w:p>
      <w:pPr>
        <w:pStyle w:val="BodyText"/>
        <w:jc w:val="center"/>
      </w:pPr>
      <w:r>
        <w:rPr>
          <w:i/>
          <w:color w:val="464E5A"/>
          <w:sz w:val="18"/>
        </w:rPr>
        <w:t>Figura 1.3. Accesos rápidos visibles en la zona inferior del menú.</w:t>
      </w:r>
    </w:p>
    <w:p>
      <w:pPr>
        <w:pStyle w:val="BodyText"/>
      </w:pPr>
      <w:r>
        <w:t>Los accesos rápidos permiten abrir funciones frecuentes sin cambiar la pestaña activa. En la captura se observan Agenda y Pedidos. La disponibilidad y posición pueden personalizarse, pero no deben ocultar ni sustituir módulos necesarios.</w:t>
      </w:r>
    </w:p>
    <w:p>
      <w:pPr>
        <w:pStyle w:val="Heading3"/>
      </w:pPr>
      <w:r>
        <w:t>1.3.4 Barra de estado y comprobaciones</w:t>
      </w:r>
    </w:p>
    <w:p>
      <w:pPr>
        <w:jc w:val="center"/>
      </w:pPr>
      <w:r>
        <w:drawing>
          <wp:inline xmlns:a="http://schemas.openxmlformats.org/drawingml/2006/main" xmlns:pic="http://schemas.openxmlformats.org/drawingml/2006/picture">
            <wp:extent cx="6080760" cy="158597"/>
            <wp:docPr id="12" name="Picture 12" descr="Barra de estado del menú con producción, cola VeriFactu y base de datos" title="Barra de estado del menú con producción, cola VeriFactu y base de datos"/>
            <wp:cNvGraphicFramePr>
              <a:graphicFrameLocks noChangeAspect="1"/>
            </wp:cNvGraphicFramePr>
            <a:graphic>
              <a:graphicData uri="http://schemas.openxmlformats.org/drawingml/2006/picture">
                <pic:pic>
                  <pic:nvPicPr>
                    <pic:cNvPr id="0" name="04_barra_estado.png"/>
                    <pic:cNvPicPr/>
                  </pic:nvPicPr>
                  <pic:blipFill>
                    <a:blip r:embed="rId24"/>
                    <a:stretch>
                      <a:fillRect/>
                    </a:stretch>
                  </pic:blipFill>
                  <pic:spPr>
                    <a:xfrm>
                      <a:off x="0" y="0"/>
                      <a:ext cx="6080760" cy="158597"/>
                    </a:xfrm>
                    <a:prstGeom prst="rect"/>
                  </pic:spPr>
                </pic:pic>
              </a:graphicData>
            </a:graphic>
          </wp:inline>
        </w:drawing>
      </w:r>
    </w:p>
    <w:p>
      <w:pPr>
        <w:pStyle w:val="BodyText"/>
        <w:jc w:val="center"/>
      </w:pPr>
      <w:r>
        <w:rPr>
          <w:i/>
          <w:color w:val="464E5A"/>
          <w:sz w:val="18"/>
        </w:rPr>
        <w:t>Figura 1.4. Barra de estado real: entorno, cola VeriFactu, BBDD y motor.</w:t>
      </w:r>
    </w:p>
    <w:tbl>
      <w:tblPr>
        <w:tblStyle w:val="TableGrid"/>
        <w:tblW w:type="auto" w:w="0"/>
        <w:jc w:val="center"/>
        <w:tblLook w:firstColumn="1" w:firstRow="1" w:lastColumn="0" w:lastRow="0" w:noHBand="0" w:noVBand="1" w:val="04A0"/>
      </w:tblPr>
      <w:tblGrid>
        <w:gridCol w:w="4929"/>
        <w:gridCol w:w="4929"/>
      </w:tblGrid>
      <w:tr>
        <w:tc>
          <w:tcPr>
            <w:tcW w:type="dxa" w:w="1944"/>
            <w:vAlign w:val="center"/>
            <w:tcMar>
              <w:top w:w="90" w:type="dxa"/>
              <w:start w:w="100" w:type="dxa"/>
              <w:bottom w:w="90" w:type="dxa"/>
              <w:end w:w="100" w:type="dxa"/>
            </w:tcMar>
            <w:shd w:fill="0F5E8C"/>
          </w:tcPr>
          <w:p>
            <w:r>
              <w:rPr>
                <w:b/>
                <w:color w:val="FFFFFF"/>
              </w:rPr>
              <w:t>Indicador</w:t>
            </w:r>
          </w:p>
        </w:tc>
        <w:tc>
          <w:tcPr>
            <w:tcW w:type="dxa" w:w="7200"/>
            <w:vAlign w:val="center"/>
            <w:tcMar>
              <w:top w:w="90" w:type="dxa"/>
              <w:start w:w="100" w:type="dxa"/>
              <w:bottom w:w="90" w:type="dxa"/>
              <w:end w:w="100" w:type="dxa"/>
            </w:tcMar>
            <w:shd w:fill="0F5E8C"/>
          </w:tcPr>
          <w:p>
            <w:r>
              <w:rPr>
                <w:b/>
                <w:color w:val="FFFFFF"/>
              </w:rPr>
              <w:t>Qué debe comprobarse</w:t>
            </w:r>
          </w:p>
        </w:tc>
      </w:tr>
      <w:tr>
        <w:tc>
          <w:tcPr>
            <w:tcW w:type="dxa" w:w="1944"/>
            <w:vAlign w:val="center"/>
            <w:tcMar>
              <w:top w:w="90" w:type="dxa"/>
              <w:start w:w="100" w:type="dxa"/>
              <w:bottom w:w="90" w:type="dxa"/>
              <w:end w:w="100" w:type="dxa"/>
            </w:tcMar>
          </w:tcPr>
          <w:p>
            <w:r>
              <w:t>Entorno</w:t>
            </w:r>
          </w:p>
        </w:tc>
        <w:tc>
          <w:tcPr>
            <w:tcW w:type="dxa" w:w="7200"/>
            <w:vAlign w:val="center"/>
            <w:tcMar>
              <w:top w:w="90" w:type="dxa"/>
              <w:start w:w="100" w:type="dxa"/>
              <w:bottom w:w="90" w:type="dxa"/>
              <w:end w:w="100" w:type="dxa"/>
            </w:tcMar>
          </w:tcPr>
          <w:p>
            <w:r>
              <w:t>Debe indicar PRODUCCIÓN o PRUEBAS de forma coherente con el trabajo que se está realizando.</w:t>
            </w:r>
          </w:p>
        </w:tc>
      </w:tr>
      <w:tr>
        <w:tc>
          <w:tcPr>
            <w:tcW w:type="dxa" w:w="1944"/>
            <w:vAlign w:val="center"/>
            <w:tcMar>
              <w:top w:w="90" w:type="dxa"/>
              <w:start w:w="100" w:type="dxa"/>
              <w:bottom w:w="90" w:type="dxa"/>
              <w:end w:w="100" w:type="dxa"/>
            </w:tcMar>
            <w:shd w:fill="EEF5FA"/>
          </w:tcPr>
          <w:p>
            <w:r>
              <w:t>VeriFactu</w:t>
            </w:r>
          </w:p>
        </w:tc>
        <w:tc>
          <w:tcPr>
            <w:tcW w:type="dxa" w:w="7200"/>
            <w:vAlign w:val="center"/>
            <w:tcMar>
              <w:top w:w="90" w:type="dxa"/>
              <w:start w:w="100" w:type="dxa"/>
              <w:bottom w:w="90" w:type="dxa"/>
              <w:end w:w="100" w:type="dxa"/>
            </w:tcMar>
            <w:shd w:fill="EEF5FA"/>
          </w:tcPr>
          <w:p>
            <w:r>
              <w:t>El servidor o endpoint configurado y el número de documentos pendientes en cola.</w:t>
            </w:r>
          </w:p>
        </w:tc>
      </w:tr>
      <w:tr>
        <w:tc>
          <w:tcPr>
            <w:tcW w:type="dxa" w:w="1944"/>
            <w:vAlign w:val="center"/>
            <w:tcMar>
              <w:top w:w="90" w:type="dxa"/>
              <w:start w:w="100" w:type="dxa"/>
              <w:bottom w:w="90" w:type="dxa"/>
              <w:end w:w="100" w:type="dxa"/>
            </w:tcMar>
          </w:tcPr>
          <w:p>
            <w:r>
              <w:t>BBDD</w:t>
            </w:r>
          </w:p>
        </w:tc>
        <w:tc>
          <w:tcPr>
            <w:tcW w:type="dxa" w:w="7200"/>
            <w:vAlign w:val="center"/>
            <w:tcMar>
              <w:top w:w="90" w:type="dxa"/>
              <w:start w:w="100" w:type="dxa"/>
              <w:bottom w:w="90" w:type="dxa"/>
              <w:end w:w="100" w:type="dxa"/>
            </w:tcMar>
          </w:tcPr>
          <w:p>
            <w:r>
              <w:t>Servidor o nombre de la conexión activa.</w:t>
            </w:r>
          </w:p>
        </w:tc>
      </w:tr>
      <w:tr>
        <w:tc>
          <w:tcPr>
            <w:tcW w:type="dxa" w:w="1944"/>
            <w:vAlign w:val="center"/>
            <w:tcMar>
              <w:top w:w="90" w:type="dxa"/>
              <w:start w:w="100" w:type="dxa"/>
              <w:bottom w:w="90" w:type="dxa"/>
              <w:end w:w="100" w:type="dxa"/>
            </w:tcMar>
            <w:shd w:fill="EEF5FA"/>
          </w:tcPr>
          <w:p>
            <w:r>
              <w:t>Motor</w:t>
            </w:r>
          </w:p>
        </w:tc>
        <w:tc>
          <w:tcPr>
            <w:tcW w:type="dxa" w:w="7200"/>
            <w:vAlign w:val="center"/>
            <w:tcMar>
              <w:top w:w="90" w:type="dxa"/>
              <w:start w:w="100" w:type="dxa"/>
              <w:bottom w:w="90" w:type="dxa"/>
              <w:end w:w="100" w:type="dxa"/>
            </w:tcMar>
            <w:shd w:fill="EEF5FA"/>
          </w:tcPr>
          <w:p>
            <w:r>
              <w:t>Motor de tablas utilizado, por ejemplo MyISAM en la instalación mostrada.</w:t>
            </w:r>
          </w:p>
        </w:tc>
      </w:tr>
    </w:tbl>
    <w:p>
      <w:pPr>
        <w:pStyle w:val="BodyText"/>
      </w:pPr>
      <w:r>
        <w:t>Antes de iniciar tareas sensibles, especialmente facturación, rectificativas, mantenimiento o cambios masivos, revise la barra de estado. Si el entorno, la BBDD o la cola no coinciden con lo esperado, no continúe hasta identificar la causa.</w:t>
      </w:r>
    </w:p>
    <w:p>
      <w:pPr>
        <w:pStyle w:val="BodyText"/>
      </w:pPr>
      <w:r>
        <w:t>Lista rápida antes de abrir un módulo:</w:t>
      </w:r>
    </w:p>
    <w:p>
      <w:pPr>
        <w:pStyle w:val="ListBullet"/>
      </w:pPr>
      <w:r>
        <w:t>• La pestaña seleccionada corresponde al área de trabajo.</w:t>
      </w:r>
    </w:p>
    <w:p>
      <w:pPr>
        <w:pStyle w:val="ListBullet"/>
      </w:pPr>
      <w:r>
        <w:t>• El botón elegido describe exactamente la función necesaria.</w:t>
      </w:r>
    </w:p>
    <w:p>
      <w:pPr>
        <w:pStyle w:val="ListBullet"/>
      </w:pPr>
      <w:r>
        <w:t>• La barra inferior indica el entorno y la BBDD correctos.</w:t>
      </w:r>
    </w:p>
    <w:p>
      <w:pPr>
        <w:pStyle w:val="ListBullet"/>
      </w:pPr>
      <w:r>
        <w:t>• No existe una ventana auxiliar oculta detrás del menú.</w:t>
      </w:r>
    </w:p>
    <w:p>
      <w:pPr>
        <w:pStyle w:val="ListBullet"/>
      </w:pPr>
      <w:r>
        <w:t>• Para salir del programa se utiliza Finalizar o el procedimiento de cierre previsto, no se fuerza el proceso.</w:t>
      </w:r>
    </w:p>
    <w:p>
      <w:pPr>
        <w:pStyle w:val="Heading2"/>
        <w:keepNext/>
      </w:pPr>
      <w:r>
        <w:t>1.4 Uso del teclado</w:t>
      </w:r>
    </w:p>
    <w:p>
      <w:pPr>
        <w:pStyle w:val="BodyText"/>
        <w:keepLines w:val="0"/>
        <w:spacing w:after="100" w:line="259" w:lineRule="auto"/>
        <w:ind w:left="0"/>
      </w:pPr>
      <w:r>
        <w:rPr>
          <w:rFonts w:ascii="Carlito" w:hAnsi="Carlito" w:eastAsia="Carlito"/>
          <w:i w:val="0"/>
          <w:sz w:val="21"/>
        </w:rPr>
        <w:t>FacturLinEx está orientado a reducir el uso innecesario del ratón. ENTER y TAB se utilizan para avanzar entre campos, las teclas de función ejecutan operaciones frecuentes y determinados formularios incorporan atajos Ctrl.</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041"/>
            <w:shd w:fill="1F4E78"/>
            <w:vAlign w:val="center"/>
          </w:tcPr>
          <w:p>
            <w:r>
              <w:rPr>
                <w:rFonts w:ascii="Carlito" w:hAnsi="Carlito" w:eastAsia="Carlito"/>
                <w:b/>
                <w:color w:val="FFFFFF"/>
                <w:sz w:val="18"/>
              </w:rPr>
              <w:t>Tecla</w:t>
            </w:r>
          </w:p>
        </w:tc>
        <w:tc>
          <w:tcPr>
            <w:tcW w:type="dxa" w:w="7313"/>
            <w:shd w:fill="1F4E78"/>
            <w:vAlign w:val="center"/>
          </w:tcPr>
          <w:p>
            <w:r>
              <w:rPr>
                <w:rFonts w:ascii="Carlito" w:hAnsi="Carlito" w:eastAsia="Carlito"/>
                <w:b/>
                <w:color w:val="FFFFFF"/>
                <w:sz w:val="18"/>
              </w:rPr>
              <w:t>Comportamiento general</w:t>
            </w:r>
          </w:p>
        </w:tc>
      </w:tr>
      <w:tr>
        <w:trPr>
          <w:cantSplit/>
        </w:trPr>
        <w:tc>
          <w:tcPr>
            <w:tcW w:type="dxa" w:w="2041"/>
            <w:vAlign w:val="center"/>
          </w:tcPr>
          <w:p>
            <w:r>
              <w:rPr>
                <w:rFonts w:ascii="Carlito" w:hAnsi="Carlito" w:eastAsia="Carlito"/>
                <w:sz w:val="18"/>
              </w:rPr>
              <w:t>TAB</w:t>
            </w:r>
          </w:p>
        </w:tc>
        <w:tc>
          <w:tcPr>
            <w:tcW w:type="dxa" w:w="7313"/>
            <w:vAlign w:val="center"/>
          </w:tcPr>
          <w:p>
            <w:r>
              <w:rPr>
                <w:rFonts w:ascii="Carlito" w:hAnsi="Carlito" w:eastAsia="Carlito"/>
                <w:sz w:val="18"/>
              </w:rPr>
              <w:t>Avanza al siguiente control según el orden de tabulación.</w:t>
            </w:r>
          </w:p>
        </w:tc>
      </w:tr>
      <w:tr>
        <w:trPr>
          <w:cantSplit/>
        </w:trPr>
        <w:tc>
          <w:tcPr>
            <w:tcW w:type="dxa" w:w="2041"/>
            <w:shd w:fill="F2F2F2"/>
            <w:vAlign w:val="center"/>
          </w:tcPr>
          <w:p>
            <w:r>
              <w:rPr>
                <w:rFonts w:ascii="Carlito" w:hAnsi="Carlito" w:eastAsia="Carlito"/>
                <w:sz w:val="18"/>
              </w:rPr>
              <w:t>Mayús + TAB</w:t>
            </w:r>
          </w:p>
        </w:tc>
        <w:tc>
          <w:tcPr>
            <w:tcW w:type="dxa" w:w="7313"/>
            <w:shd w:fill="F2F2F2"/>
            <w:vAlign w:val="center"/>
          </w:tcPr>
          <w:p>
            <w:r>
              <w:rPr>
                <w:rFonts w:ascii="Carlito" w:hAnsi="Carlito" w:eastAsia="Carlito"/>
                <w:sz w:val="18"/>
              </w:rPr>
              <w:t>Retrocede al control anterior.</w:t>
            </w:r>
          </w:p>
        </w:tc>
      </w:tr>
      <w:tr>
        <w:trPr>
          <w:cantSplit/>
        </w:trPr>
        <w:tc>
          <w:tcPr>
            <w:tcW w:type="dxa" w:w="2041"/>
            <w:vAlign w:val="center"/>
          </w:tcPr>
          <w:p>
            <w:r>
              <w:rPr>
                <w:rFonts w:ascii="Carlito" w:hAnsi="Carlito" w:eastAsia="Carlito"/>
                <w:sz w:val="18"/>
              </w:rPr>
              <w:t>ENTER</w:t>
            </w:r>
          </w:p>
        </w:tc>
        <w:tc>
          <w:tcPr>
            <w:tcW w:type="dxa" w:w="7313"/>
            <w:vAlign w:val="center"/>
          </w:tcPr>
          <w:p>
            <w:r>
              <w:rPr>
                <w:rFonts w:ascii="Carlito" w:hAnsi="Carlito" w:eastAsia="Carlito"/>
                <w:sz w:val="18"/>
              </w:rPr>
              <w:t>Confirma o avanza en campos donde esté configurado.</w:t>
            </w:r>
          </w:p>
        </w:tc>
      </w:tr>
      <w:tr>
        <w:trPr>
          <w:cantSplit/>
        </w:trPr>
        <w:tc>
          <w:tcPr>
            <w:tcW w:type="dxa" w:w="2041"/>
            <w:shd w:fill="F2F2F2"/>
            <w:vAlign w:val="center"/>
          </w:tcPr>
          <w:p>
            <w:r>
              <w:rPr>
                <w:rFonts w:ascii="Carlito" w:hAnsi="Carlito" w:eastAsia="Carlito"/>
                <w:sz w:val="18"/>
              </w:rPr>
              <w:t>ESC</w:t>
            </w:r>
          </w:p>
        </w:tc>
        <w:tc>
          <w:tcPr>
            <w:tcW w:type="dxa" w:w="7313"/>
            <w:shd w:fill="F2F2F2"/>
            <w:vAlign w:val="center"/>
          </w:tcPr>
          <w:p>
            <w:r>
              <w:rPr>
                <w:rFonts w:ascii="Carlito" w:hAnsi="Carlito" w:eastAsia="Carlito"/>
                <w:sz w:val="18"/>
              </w:rPr>
              <w:t>Cierra el formulario principal o cancela primero el panel auxiliar activo.</w:t>
            </w:r>
          </w:p>
        </w:tc>
      </w:tr>
      <w:tr>
        <w:trPr>
          <w:cantSplit/>
        </w:trPr>
        <w:tc>
          <w:tcPr>
            <w:tcW w:type="dxa" w:w="2041"/>
            <w:vAlign w:val="center"/>
          </w:tcPr>
          <w:p>
            <w:r>
              <w:rPr>
                <w:rFonts w:ascii="Carlito" w:hAnsi="Carlito" w:eastAsia="Carlito"/>
                <w:sz w:val="18"/>
              </w:rPr>
              <w:t>F5 y otras F(x)</w:t>
            </w:r>
          </w:p>
        </w:tc>
        <w:tc>
          <w:tcPr>
            <w:tcW w:type="dxa" w:w="7313"/>
            <w:vAlign w:val="center"/>
          </w:tcPr>
          <w:p>
            <w:r>
              <w:rPr>
                <w:rFonts w:ascii="Carlito" w:hAnsi="Carlito" w:eastAsia="Carlito"/>
                <w:sz w:val="18"/>
              </w:rPr>
              <w:t>Acciones propias de cada módulo; consultar la línea inferior de ayuda.</w:t>
            </w:r>
          </w:p>
        </w:tc>
      </w:tr>
      <w:tr>
        <w:trPr>
          <w:cantSplit/>
        </w:trPr>
        <w:tc>
          <w:tcPr>
            <w:tcW w:type="dxa" w:w="2041"/>
            <w:shd w:fill="F2F2F2"/>
            <w:vAlign w:val="center"/>
          </w:tcPr>
          <w:p>
            <w:r>
              <w:rPr>
                <w:rFonts w:ascii="Carlito" w:hAnsi="Carlito" w:eastAsia="Carlito"/>
                <w:sz w:val="18"/>
              </w:rPr>
              <w:t>Ctrl + O</w:t>
            </w:r>
          </w:p>
        </w:tc>
        <w:tc>
          <w:tcPr>
            <w:tcW w:type="dxa" w:w="7313"/>
            <w:shd w:fill="F2F2F2"/>
            <w:vAlign w:val="center"/>
          </w:tcPr>
          <w:p>
            <w:r>
              <w:rPr>
                <w:rFonts w:ascii="Carlito" w:hAnsi="Carlito" w:eastAsia="Carlito"/>
                <w:sz w:val="18"/>
              </w:rPr>
              <w:t>En Ventas: foco en código de cliente.</w:t>
            </w:r>
          </w:p>
        </w:tc>
      </w:tr>
      <w:tr>
        <w:trPr>
          <w:cantSplit/>
        </w:trPr>
        <w:tc>
          <w:tcPr>
            <w:tcW w:type="dxa" w:w="2041"/>
            <w:vAlign w:val="center"/>
          </w:tcPr>
          <w:p>
            <w:r>
              <w:rPr>
                <w:rFonts w:ascii="Carlito" w:hAnsi="Carlito" w:eastAsia="Carlito"/>
                <w:sz w:val="18"/>
              </w:rPr>
              <w:t>Ctrl + U</w:t>
            </w:r>
          </w:p>
        </w:tc>
        <w:tc>
          <w:tcPr>
            <w:tcW w:type="dxa" w:w="7313"/>
            <w:vAlign w:val="center"/>
          </w:tcPr>
          <w:p>
            <w:r>
              <w:rPr>
                <w:rFonts w:ascii="Carlito" w:hAnsi="Carlito" w:eastAsia="Carlito"/>
                <w:sz w:val="18"/>
              </w:rPr>
              <w:t>En Ventas: foco en nombre de cliente.</w:t>
            </w:r>
          </w:p>
        </w:tc>
      </w:tr>
      <w:tr>
        <w:trPr>
          <w:cantSplit/>
        </w:trPr>
        <w:tc>
          <w:tcPr>
            <w:tcW w:type="dxa" w:w="2041"/>
            <w:shd w:fill="F2F2F2"/>
            <w:vAlign w:val="center"/>
          </w:tcPr>
          <w:p>
            <w:r>
              <w:rPr>
                <w:rFonts w:ascii="Carlito" w:hAnsi="Carlito" w:eastAsia="Carlito"/>
                <w:sz w:val="18"/>
              </w:rPr>
              <w:t>Ctrl + N</w:t>
            </w:r>
          </w:p>
        </w:tc>
        <w:tc>
          <w:tcPr>
            <w:tcW w:type="dxa" w:w="7313"/>
            <w:shd w:fill="F2F2F2"/>
            <w:vAlign w:val="center"/>
          </w:tcPr>
          <w:p>
            <w:r>
              <w:rPr>
                <w:rFonts w:ascii="Carlito" w:hAnsi="Carlito" w:eastAsia="Carlito"/>
                <w:sz w:val="18"/>
              </w:rPr>
              <w:t>En Ventas: acción de cliente nuevo según la versión validada.</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REGLA PRÁCTICA: </w:t>
            </w:r>
            <w:r>
              <w:rPr>
                <w:rFonts w:ascii="Carlito" w:hAnsi="Carlito" w:eastAsia="Carlito"/>
                <w:color w:val="000000"/>
                <w:sz w:val="19"/>
              </w:rPr>
              <w:t>Antes de memorizar atajos, comprobar la línea inferior del formulario. En Ventas se muestran los atajos Ctrl antes de los accesos F(x).</w:t>
            </w:r>
          </w:p>
        </w:tc>
      </w:tr>
    </w:tbl>
    <w:p>
      <w:pPr>
        <w:spacing w:after="20"/>
      </w:pPr>
    </w:p>
    <w:p>
      <w:pPr>
        <w:pStyle w:val="Heading2"/>
        <w:keepNext/>
      </w:pPr>
      <w:r>
        <w:t>1.5 Ventanas y formularios</w:t>
      </w:r>
    </w:p>
    <w:p>
      <w:pPr>
        <w:pStyle w:val="BodyText"/>
        <w:keepLines w:val="0"/>
        <w:spacing w:after="100" w:line="259" w:lineRule="auto"/>
        <w:ind w:left="0"/>
      </w:pPr>
      <w:r>
        <w:rPr>
          <w:rFonts w:ascii="Carlito" w:hAnsi="Carlito" w:eastAsia="Carlito"/>
          <w:i w:val="0"/>
          <w:sz w:val="21"/>
        </w:rPr>
        <w:t>Como criterio general, los formularios principales se abren maximizados para aprovechar la pantalla. La ventana de búsqueda general es una excepción: debe abrirse centrada, con tamaño medio y permitir ver el formulario que la invocó.</w:t>
      </w:r>
    </w:p>
    <w:p>
      <w:pPr>
        <w:pStyle w:val="ListBullet"/>
        <w:spacing w:after="40" w:line="240" w:lineRule="auto"/>
      </w:pPr>
      <w:r>
        <w:rPr>
          <w:rFonts w:ascii="Carlito" w:hAnsi="Carlito" w:eastAsia="Carlito"/>
          <w:sz w:val="20"/>
        </w:rPr>
        <w:t>Los grids deben permitir ordenar por cabecera y mostrar una flecha con el sentido de ordenación.</w:t>
      </w:r>
    </w:p>
    <w:p>
      <w:pPr>
        <w:pStyle w:val="ListBullet"/>
        <w:spacing w:after="40" w:line="240" w:lineRule="auto"/>
      </w:pPr>
      <w:r>
        <w:rPr>
          <w:rFonts w:ascii="Carlito" w:hAnsi="Carlito" w:eastAsia="Carlito"/>
          <w:sz w:val="20"/>
        </w:rPr>
        <w:t>Las filas seleccionadas deben mantener texto legible.</w:t>
      </w:r>
    </w:p>
    <w:p>
      <w:pPr>
        <w:pStyle w:val="ListBullet"/>
        <w:spacing w:after="40" w:line="240" w:lineRule="auto"/>
      </w:pPr>
      <w:r>
        <w:rPr>
          <w:rFonts w:ascii="Carlito" w:hAnsi="Carlito" w:eastAsia="Carlito"/>
          <w:sz w:val="20"/>
        </w:rPr>
        <w:t>Los paneles auxiliares deben diferenciarse mediante fondos suaves o marcos discretos.</w:t>
      </w:r>
    </w:p>
    <w:p>
      <w:pPr>
        <w:pStyle w:val="ListBullet"/>
        <w:spacing w:after="40" w:line="240" w:lineRule="auto"/>
      </w:pPr>
      <w:r>
        <w:rPr>
          <w:rFonts w:ascii="Carlito" w:hAnsi="Carlito" w:eastAsia="Carlito"/>
          <w:sz w:val="20"/>
        </w:rPr>
        <w:t>Los botones, etiquetas y casillas deben conservar contraste suficiente en temas oscuros o fondos coloreados.</w:t>
      </w:r>
    </w:p>
    <w:p>
      <w:bookmarkStart w:id="4" w:name="cap2"/>
      <w:pPr>
        <w:pStyle w:val="Heading1"/>
        <w:keepNext/>
      </w:pPr>
      <w:r>
        <w:t>2. Configuración inicial</w:t>
      </w:r>
      <w:bookmarkEnd w:id="4"/>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ESTADO: </w:t>
            </w:r>
            <w:r>
              <w:rPr>
                <w:rFonts w:ascii="Carlito" w:hAnsi="Carlito" w:eastAsia="Carlito"/>
                <w:color w:val="000000"/>
                <w:sz w:val="19"/>
              </w:rPr>
              <w:t>Estructura funcional basada en la configuración modernizada v9. Las rutas y valores concretos deben adaptarse a cada instalación.</w:t>
            </w:r>
          </w:p>
        </w:tc>
      </w:tr>
    </w:tbl>
    <w:p>
      <w:pPr>
        <w:spacing w:after="20"/>
      </w:pPr>
    </w:p>
    <w:p>
      <w:pPr>
        <w:pStyle w:val="Heading2"/>
        <w:keepNext/>
      </w:pPr>
      <w:r>
        <w:t>2.1 Orden recomendado de configuración</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Comprobar la conexión con la base de datos principal.</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Configurar empresa, tienda y puesto.</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Revisar series, numeraciones y tipos de documento.</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Configurar impresoras, plantillas y generación de PDF.</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Configurar el correo electrónico y realizar una prueba de envío.</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Revisar IVA, entorno de producción y opciones de VeriFactu.</w:t>
      </w:r>
    </w:p>
    <w:p>
      <w:pPr>
        <w:pStyle w:val="BodyText"/>
        <w:spacing w:after="40" w:line="240" w:lineRule="auto"/>
        <w:ind w:left="312" w:hanging="312"/>
      </w:pPr>
      <w:r>
        <w:rPr>
          <w:rFonts w:ascii="Carlito" w:hAnsi="Carlito" w:eastAsia="Carlito"/>
          <w:b/>
          <w:color w:val="17365D"/>
          <w:sz w:val="20"/>
        </w:rPr>
        <w:t xml:space="preserve">7.  </w:t>
      </w:r>
      <w:r>
        <w:rPr>
          <w:rFonts w:ascii="Carlito" w:hAnsi="Carlito" w:eastAsia="Carlito"/>
          <w:sz w:val="20"/>
        </w:rPr>
        <w:t>Configurar rutas de informes, recursos, iconos y copias de seguridad.</w:t>
      </w:r>
    </w:p>
    <w:p>
      <w:pPr>
        <w:pStyle w:val="BodyText"/>
        <w:spacing w:after="40" w:line="240" w:lineRule="auto"/>
        <w:ind w:left="312" w:hanging="312"/>
      </w:pPr>
      <w:r>
        <w:rPr>
          <w:rFonts w:ascii="Carlito" w:hAnsi="Carlito" w:eastAsia="Carlito"/>
          <w:b/>
          <w:color w:val="17365D"/>
          <w:sz w:val="20"/>
        </w:rPr>
        <w:t xml:space="preserve">8.  </w:t>
      </w:r>
      <w:r>
        <w:rPr>
          <w:rFonts w:ascii="Carlito" w:hAnsi="Carlito" w:eastAsia="Carlito"/>
          <w:sz w:val="20"/>
        </w:rPr>
        <w:t>Crear o revisar usuarios, permisos y formas de pago.</w:t>
      </w:r>
    </w:p>
    <w:p>
      <w:pPr>
        <w:pStyle w:val="BodyText"/>
        <w:spacing w:after="40" w:line="240" w:lineRule="auto"/>
        <w:ind w:left="312" w:hanging="312"/>
      </w:pPr>
      <w:r>
        <w:rPr>
          <w:rFonts w:ascii="Carlito" w:hAnsi="Carlito" w:eastAsia="Carlito"/>
          <w:b/>
          <w:color w:val="17365D"/>
          <w:sz w:val="20"/>
        </w:rPr>
        <w:t xml:space="preserve">9.  </w:t>
      </w:r>
      <w:r>
        <w:rPr>
          <w:rFonts w:ascii="Carlito" w:hAnsi="Carlito" w:eastAsia="Carlito"/>
          <w:sz w:val="20"/>
        </w:rPr>
        <w:t>Realizar una copia de seguridad y una venta completa de prueba.</w:t>
      </w:r>
    </w:p>
    <w:p>
      <w:pPr>
        <w:pStyle w:val="Heading2"/>
        <w:keepNext/>
      </w:pPr>
      <w:r>
        <w:t>2.2 Conexión con MariaDB</w:t>
      </w:r>
    </w:p>
    <w:p>
      <w:pPr>
        <w:pStyle w:val="BodyText"/>
        <w:keepLines w:val="0"/>
        <w:spacing w:after="100" w:line="259" w:lineRule="auto"/>
        <w:ind w:left="0"/>
      </w:pPr>
      <w:r>
        <w:rPr>
          <w:rFonts w:ascii="Carlito" w:hAnsi="Carlito" w:eastAsia="Carlito"/>
          <w:i w:val="0"/>
          <w:sz w:val="21"/>
        </w:rPr>
        <w:t>La configuración de conexión debe identificar correctamente el servidor, puerto, base de datos, usuario, contraseña y juego de caracteres. La pantalla de Configuración dispone de botones de prueba para la base principal y para el sistema de información común.</w:t>
      </w:r>
    </w:p>
    <w:tbl>
      <w:tblPr>
        <w:tblW w:type="auto" w:w="0"/>
        <w:jc w:val="center"/>
        <w:tblLayout w:type="fixed"/>
        <w:tblLook w:firstColumn="1" w:firstRow="1" w:lastColumn="0" w:lastRow="0" w:noHBand="0" w:noVBand="1" w:val="04A0"/>
      </w:tblPr>
      <w:tblGrid>
        <w:gridCol w:w="4929"/>
        <w:gridCol w:w="4929"/>
      </w:tblGrid>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El servidor responde desde el equipo donde se ejecuta FacturLinEx.</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 base de datos indicada existe.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El usuario dispone de los permisos necesarios.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El juego de caracteres es compatible con los datos existentes.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 prueba de conexión finaliza correctamente.</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PRECAUCIÓN: </w:t>
            </w:r>
            <w:r>
              <w:rPr>
                <w:rFonts w:ascii="Carlito" w:hAnsi="Carlito" w:eastAsia="Carlito"/>
                <w:color w:val="000000"/>
                <w:sz w:val="19"/>
              </w:rPr>
              <w:t>No cambiar charset, collation o motor de tablas en producción sin copia previa y sin comprobar las tablas afectadas. Las mezclas de collations pueden provocar errores en consultas JOIN.</w:t>
            </w:r>
          </w:p>
        </w:tc>
      </w:tr>
    </w:tbl>
    <w:p>
      <w:pPr>
        <w:spacing w:after="20"/>
      </w:pPr>
    </w:p>
    <w:p>
      <w:pPr>
        <w:pStyle w:val="Heading2"/>
        <w:keepNext/>
      </w:pPr>
      <w:r>
        <w:t>2.3 Empresa, tienda y puesto</w:t>
      </w:r>
    </w:p>
    <w:p>
      <w:pPr>
        <w:pStyle w:val="BodyText"/>
        <w:keepLines w:val="0"/>
        <w:spacing w:after="100" w:line="259" w:lineRule="auto"/>
        <w:ind w:left="0"/>
      </w:pPr>
      <w:r>
        <w:rPr>
          <w:rFonts w:ascii="Carlito" w:hAnsi="Carlito" w:eastAsia="Carlito"/>
          <w:i w:val="0"/>
          <w:sz w:val="21"/>
        </w:rPr>
        <w:t>Los datos de empresa se utilizan en documentos, informes y comunicaciones. La tienda determina el conjunto de tablas y configuraciones sobre el que se trabaja. El puesto identifica la terminal de venta y puede aparecer en registros históricos.</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041"/>
            <w:shd w:fill="1F4E78"/>
            <w:vAlign w:val="center"/>
          </w:tcPr>
          <w:p>
            <w:r>
              <w:rPr>
                <w:rFonts w:ascii="Carlito" w:hAnsi="Carlito" w:eastAsia="Carlito"/>
                <w:b/>
                <w:color w:val="FFFFFF"/>
                <w:sz w:val="18"/>
              </w:rPr>
              <w:t>Elemento</w:t>
            </w:r>
          </w:p>
        </w:tc>
        <w:tc>
          <w:tcPr>
            <w:tcW w:type="dxa" w:w="7313"/>
            <w:shd w:fill="1F4E78"/>
            <w:vAlign w:val="center"/>
          </w:tcPr>
          <w:p>
            <w:r>
              <w:rPr>
                <w:rFonts w:ascii="Carlito" w:hAnsi="Carlito" w:eastAsia="Carlito"/>
                <w:b/>
                <w:color w:val="FFFFFF"/>
                <w:sz w:val="18"/>
              </w:rPr>
              <w:t>Comprobaciones</w:t>
            </w:r>
          </w:p>
        </w:tc>
      </w:tr>
      <w:tr>
        <w:trPr>
          <w:cantSplit/>
        </w:trPr>
        <w:tc>
          <w:tcPr>
            <w:tcW w:type="dxa" w:w="2041"/>
            <w:vAlign w:val="center"/>
          </w:tcPr>
          <w:p>
            <w:r>
              <w:rPr>
                <w:rFonts w:ascii="Carlito" w:hAnsi="Carlito" w:eastAsia="Carlito"/>
                <w:sz w:val="18"/>
              </w:rPr>
              <w:t>Empresa</w:t>
            </w:r>
          </w:p>
        </w:tc>
        <w:tc>
          <w:tcPr>
            <w:tcW w:type="dxa" w:w="7313"/>
            <w:vAlign w:val="center"/>
          </w:tcPr>
          <w:p>
            <w:r>
              <w:rPr>
                <w:rFonts w:ascii="Carlito" w:hAnsi="Carlito" w:eastAsia="Carlito"/>
                <w:sz w:val="18"/>
              </w:rPr>
              <w:t>Razón social, NIF, dirección, datos de contacto y datos fiscales.</w:t>
            </w:r>
          </w:p>
        </w:tc>
      </w:tr>
      <w:tr>
        <w:trPr>
          <w:cantSplit/>
        </w:trPr>
        <w:tc>
          <w:tcPr>
            <w:tcW w:type="dxa" w:w="2041"/>
            <w:shd w:fill="F2F2F2"/>
            <w:vAlign w:val="center"/>
          </w:tcPr>
          <w:p>
            <w:r>
              <w:rPr>
                <w:rFonts w:ascii="Carlito" w:hAnsi="Carlito" w:eastAsia="Carlito"/>
                <w:sz w:val="18"/>
              </w:rPr>
              <w:t>Tienda</w:t>
            </w:r>
          </w:p>
        </w:tc>
        <w:tc>
          <w:tcPr>
            <w:tcW w:type="dxa" w:w="7313"/>
            <w:shd w:fill="F2F2F2"/>
            <w:vAlign w:val="center"/>
          </w:tcPr>
          <w:p>
            <w:r>
              <w:rPr>
                <w:rFonts w:ascii="Carlito" w:hAnsi="Carlito" w:eastAsia="Carlito"/>
                <w:sz w:val="18"/>
              </w:rPr>
              <w:t>Código, descripción, rutas y correspondencia con las tablas de la instalación.</w:t>
            </w:r>
          </w:p>
        </w:tc>
      </w:tr>
      <w:tr>
        <w:trPr>
          <w:cantSplit/>
        </w:trPr>
        <w:tc>
          <w:tcPr>
            <w:tcW w:type="dxa" w:w="2041"/>
            <w:vAlign w:val="center"/>
          </w:tcPr>
          <w:p>
            <w:r>
              <w:rPr>
                <w:rFonts w:ascii="Carlito" w:hAnsi="Carlito" w:eastAsia="Carlito"/>
                <w:sz w:val="18"/>
              </w:rPr>
              <w:t>Puesto</w:t>
            </w:r>
          </w:p>
        </w:tc>
        <w:tc>
          <w:tcPr>
            <w:tcW w:type="dxa" w:w="7313"/>
            <w:vAlign w:val="center"/>
          </w:tcPr>
          <w:p>
            <w:r>
              <w:rPr>
                <w:rFonts w:ascii="Carlito" w:hAnsi="Carlito" w:eastAsia="Carlito"/>
                <w:sz w:val="18"/>
              </w:rPr>
              <w:t>Letra o identificador visible en Ventas y coherente con el registro histórico.</w:t>
            </w:r>
          </w:p>
        </w:tc>
      </w:tr>
      <w:tr>
        <w:trPr>
          <w:cantSplit/>
        </w:trPr>
        <w:tc>
          <w:tcPr>
            <w:tcW w:type="dxa" w:w="2041"/>
            <w:shd w:fill="F2F2F2"/>
            <w:vAlign w:val="center"/>
          </w:tcPr>
          <w:p>
            <w:r>
              <w:rPr>
                <w:rFonts w:ascii="Carlito" w:hAnsi="Carlito" w:eastAsia="Carlito"/>
                <w:sz w:val="18"/>
              </w:rPr>
              <w:t>Usuario</w:t>
            </w:r>
          </w:p>
        </w:tc>
        <w:tc>
          <w:tcPr>
            <w:tcW w:type="dxa" w:w="7313"/>
            <w:shd w:fill="F2F2F2"/>
            <w:vAlign w:val="center"/>
          </w:tcPr>
          <w:p>
            <w:r>
              <w:rPr>
                <w:rFonts w:ascii="Carlito" w:hAnsi="Carlito" w:eastAsia="Carlito"/>
                <w:sz w:val="18"/>
              </w:rPr>
              <w:t>Nombre, credenciales, permisos y asociación correcta a las operaciones.</w:t>
            </w:r>
          </w:p>
        </w:tc>
      </w:tr>
    </w:tbl>
    <w:p>
      <w:pPr>
        <w:spacing w:after="40"/>
      </w:pPr>
    </w:p>
    <w:p>
      <w:pPr>
        <w:pStyle w:val="Heading2"/>
        <w:keepNext/>
      </w:pPr>
      <w:r>
        <w:t>2.4 Series y numeraciones</w:t>
      </w:r>
    </w:p>
    <w:p>
      <w:pPr>
        <w:pStyle w:val="BodyText"/>
        <w:keepLines w:val="0"/>
        <w:spacing w:after="100" w:line="259" w:lineRule="auto"/>
        <w:ind w:left="0"/>
      </w:pPr>
      <w:r>
        <w:rPr>
          <w:rFonts w:ascii="Carlito" w:hAnsi="Carlito" w:eastAsia="Carlito"/>
          <w:i w:val="0"/>
          <w:sz w:val="21"/>
        </w:rPr>
        <w:t>Cada tipo de documento utiliza series y contadores. Las series permiten separar tiendas, ejercicios, documentos simplificados, rectificativas y otros circuitos.</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2381"/>
            <w:shd w:fill="1F4E78"/>
            <w:vAlign w:val="center"/>
          </w:tcPr>
          <w:p>
            <w:r>
              <w:rPr>
                <w:rFonts w:ascii="Carlito" w:hAnsi="Carlito" w:eastAsia="Carlito"/>
                <w:b/>
                <w:color w:val="FFFFFF"/>
                <w:sz w:val="18"/>
              </w:rPr>
              <w:t>Tipo</w:t>
            </w:r>
          </w:p>
        </w:tc>
        <w:tc>
          <w:tcPr>
            <w:tcW w:type="dxa" w:w="2268"/>
            <w:shd w:fill="1F4E78"/>
            <w:vAlign w:val="center"/>
          </w:tcPr>
          <w:p>
            <w:r>
              <w:rPr>
                <w:rFonts w:ascii="Carlito" w:hAnsi="Carlito" w:eastAsia="Carlito"/>
                <w:b/>
                <w:color w:val="FFFFFF"/>
                <w:sz w:val="18"/>
              </w:rPr>
              <w:t>Ejemplos habituales</w:t>
            </w:r>
          </w:p>
        </w:tc>
        <w:tc>
          <w:tcPr>
            <w:tcW w:type="dxa" w:w="4706"/>
            <w:shd w:fill="1F4E78"/>
            <w:vAlign w:val="center"/>
          </w:tcPr>
          <w:p>
            <w:r>
              <w:rPr>
                <w:rFonts w:ascii="Carlito" w:hAnsi="Carlito" w:eastAsia="Carlito"/>
                <w:b/>
                <w:color w:val="FFFFFF"/>
                <w:sz w:val="18"/>
              </w:rPr>
              <w:t>Uso</w:t>
            </w:r>
          </w:p>
        </w:tc>
      </w:tr>
      <w:tr>
        <w:trPr>
          <w:cantSplit/>
        </w:trPr>
        <w:tc>
          <w:tcPr>
            <w:tcW w:type="dxa" w:w="2381"/>
            <w:vAlign w:val="center"/>
          </w:tcPr>
          <w:p>
            <w:r>
              <w:rPr>
                <w:rFonts w:ascii="Carlito" w:hAnsi="Carlito" w:eastAsia="Carlito"/>
                <w:sz w:val="18"/>
              </w:rPr>
              <w:t>Normal</w:t>
            </w:r>
          </w:p>
        </w:tc>
        <w:tc>
          <w:tcPr>
            <w:tcW w:type="dxa" w:w="2268"/>
            <w:vAlign w:val="center"/>
          </w:tcPr>
          <w:p>
            <w:r>
              <w:rPr>
                <w:rFonts w:ascii="Carlito" w:hAnsi="Carlito" w:eastAsia="Carlito"/>
                <w:sz w:val="18"/>
              </w:rPr>
              <w:t>A26, B26...</w:t>
            </w:r>
          </w:p>
        </w:tc>
        <w:tc>
          <w:tcPr>
            <w:tcW w:type="dxa" w:w="4706"/>
            <w:vAlign w:val="center"/>
          </w:tcPr>
          <w:p>
            <w:r>
              <w:rPr>
                <w:rFonts w:ascii="Carlito" w:hAnsi="Carlito" w:eastAsia="Carlito"/>
                <w:sz w:val="18"/>
              </w:rPr>
              <w:t>Facturas o documentos completos.</w:t>
            </w:r>
          </w:p>
        </w:tc>
      </w:tr>
      <w:tr>
        <w:trPr>
          <w:cantSplit/>
        </w:trPr>
        <w:tc>
          <w:tcPr>
            <w:tcW w:type="dxa" w:w="2381"/>
            <w:shd w:fill="F2F2F2"/>
            <w:vAlign w:val="center"/>
          </w:tcPr>
          <w:p>
            <w:r>
              <w:rPr>
                <w:rFonts w:ascii="Carlito" w:hAnsi="Carlito" w:eastAsia="Carlito"/>
                <w:sz w:val="18"/>
              </w:rPr>
              <w:t>Simplificada</w:t>
            </w:r>
          </w:p>
        </w:tc>
        <w:tc>
          <w:tcPr>
            <w:tcW w:type="dxa" w:w="2268"/>
            <w:shd w:fill="F2F2F2"/>
            <w:vAlign w:val="center"/>
          </w:tcPr>
          <w:p>
            <w:r>
              <w:rPr>
                <w:rFonts w:ascii="Carlito" w:hAnsi="Carlito" w:eastAsia="Carlito"/>
                <w:sz w:val="18"/>
              </w:rPr>
              <w:t>FS-A26</w:t>
            </w:r>
          </w:p>
        </w:tc>
        <w:tc>
          <w:tcPr>
            <w:tcW w:type="dxa" w:w="4706"/>
            <w:shd w:fill="F2F2F2"/>
            <w:vAlign w:val="center"/>
          </w:tcPr>
          <w:p>
            <w:r>
              <w:rPr>
                <w:rFonts w:ascii="Carlito" w:hAnsi="Carlito" w:eastAsia="Carlito"/>
                <w:sz w:val="18"/>
              </w:rPr>
              <w:t>Facturas simplificadas o tickets fiscales.</w:t>
            </w:r>
          </w:p>
        </w:tc>
      </w:tr>
      <w:tr>
        <w:trPr>
          <w:cantSplit/>
        </w:trPr>
        <w:tc>
          <w:tcPr>
            <w:tcW w:type="dxa" w:w="2381"/>
            <w:vAlign w:val="center"/>
          </w:tcPr>
          <w:p>
            <w:r>
              <w:rPr>
                <w:rFonts w:ascii="Carlito" w:hAnsi="Carlito" w:eastAsia="Carlito"/>
                <w:sz w:val="18"/>
              </w:rPr>
              <w:t>Rectificativa normal</w:t>
            </w:r>
          </w:p>
        </w:tc>
        <w:tc>
          <w:tcPr>
            <w:tcW w:type="dxa" w:w="2268"/>
            <w:vAlign w:val="center"/>
          </w:tcPr>
          <w:p>
            <w:r>
              <w:rPr>
                <w:rFonts w:ascii="Carlito" w:hAnsi="Carlito" w:eastAsia="Carlito"/>
                <w:sz w:val="18"/>
              </w:rPr>
              <w:t>R26</w:t>
            </w:r>
          </w:p>
        </w:tc>
        <w:tc>
          <w:tcPr>
            <w:tcW w:type="dxa" w:w="4706"/>
            <w:vAlign w:val="center"/>
          </w:tcPr>
          <w:p>
            <w:r>
              <w:rPr>
                <w:rFonts w:ascii="Carlito" w:hAnsi="Carlito" w:eastAsia="Carlito"/>
                <w:sz w:val="18"/>
              </w:rPr>
              <w:t>Corrección de factura normal.</w:t>
            </w:r>
          </w:p>
        </w:tc>
      </w:tr>
      <w:tr>
        <w:trPr>
          <w:cantSplit/>
        </w:trPr>
        <w:tc>
          <w:tcPr>
            <w:tcW w:type="dxa" w:w="2381"/>
            <w:shd w:fill="F2F2F2"/>
            <w:vAlign w:val="center"/>
          </w:tcPr>
          <w:p>
            <w:r>
              <w:rPr>
                <w:rFonts w:ascii="Carlito" w:hAnsi="Carlito" w:eastAsia="Carlito"/>
                <w:sz w:val="18"/>
              </w:rPr>
              <w:t>Rectificativa simplificada</w:t>
            </w:r>
          </w:p>
        </w:tc>
        <w:tc>
          <w:tcPr>
            <w:tcW w:type="dxa" w:w="2268"/>
            <w:shd w:fill="F2F2F2"/>
            <w:vAlign w:val="center"/>
          </w:tcPr>
          <w:p>
            <w:r>
              <w:rPr>
                <w:rFonts w:ascii="Carlito" w:hAnsi="Carlito" w:eastAsia="Carlito"/>
                <w:sz w:val="18"/>
              </w:rPr>
              <w:t>FS-R26</w:t>
            </w:r>
          </w:p>
        </w:tc>
        <w:tc>
          <w:tcPr>
            <w:tcW w:type="dxa" w:w="4706"/>
            <w:shd w:fill="F2F2F2"/>
            <w:vAlign w:val="center"/>
          </w:tcPr>
          <w:p>
            <w:r>
              <w:rPr>
                <w:rFonts w:ascii="Carlito" w:hAnsi="Carlito" w:eastAsia="Carlito"/>
                <w:sz w:val="18"/>
              </w:rPr>
              <w:t>Corrección de factura simplificada.</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CRÍTICO: </w:t>
            </w:r>
            <w:r>
              <w:rPr>
                <w:rFonts w:ascii="Carlito" w:hAnsi="Carlito" w:eastAsia="Carlito"/>
                <w:color w:val="000000"/>
                <w:sz w:val="19"/>
              </w:rPr>
              <w:t>No reiniciar ni alterar manualmente una numeración que ya haya generado documentos fiscales sin analizar sus consecuencias. Puede producir duplicidades, huecos incoherentes o problemas de trazabilidad.</w:t>
            </w:r>
          </w:p>
        </w:tc>
      </w:tr>
    </w:tbl>
    <w:p>
      <w:pPr>
        <w:spacing w:after="20"/>
      </w:pPr>
    </w:p>
    <w:p>
      <w:pPr>
        <w:pStyle w:val="Heading2"/>
        <w:keepNext/>
      </w:pPr>
      <w:r>
        <w:t>2.5 Impresión, PDF y correo</w:t>
      </w:r>
    </w:p>
    <w:p>
      <w:pPr>
        <w:pStyle w:val="BodyText"/>
        <w:keepLines w:val="0"/>
        <w:spacing w:after="100" w:line="259" w:lineRule="auto"/>
        <w:ind w:left="0"/>
      </w:pPr>
      <w:r>
        <w:rPr>
          <w:rFonts w:ascii="Carlito" w:hAnsi="Carlito" w:eastAsia="Carlito"/>
          <w:i w:val="0"/>
          <w:sz w:val="21"/>
        </w:rPr>
        <w:t>FacturLinEx puede imprimir tickets e informes, generar documentos PDF y enviarlos por correo. Deben revisarse las impresoras, plantillas, rutas de salida y credenciales de correo.</w:t>
      </w:r>
    </w:p>
    <w:tbl>
      <w:tblPr>
        <w:tblW w:type="auto" w:w="0"/>
        <w:jc w:val="center"/>
        <w:tblLayout w:type="fixed"/>
        <w:tblLook w:firstColumn="1" w:firstRow="1" w:lastColumn="0" w:lastRow="0" w:noHBand="0" w:noVBand="1" w:val="04A0"/>
      </w:tblPr>
      <w:tblGrid>
        <w:gridCol w:w="4929"/>
        <w:gridCol w:w="4929"/>
      </w:tblGrid>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Impresora de tickets seleccionada y probada.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Impresora de informes o facturas seleccionada.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Plantillas .lrf localizadas y compatibles con los campos utilizados.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Ruta de PDF con permisos de escritura.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Servidor SMTP, puerto, seguridad, usuario y remitente configurados.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Prueba de envío realizada y mensaje informativo visible por encima de otros controles.</w:t>
            </w:r>
          </w:p>
        </w:tc>
      </w:tr>
    </w:tbl>
    <w:p>
      <w:pPr>
        <w:spacing w:after="40"/>
      </w:pPr>
    </w:p>
    <w:p>
      <w:pPr>
        <w:pStyle w:val="Heading2"/>
        <w:keepNext/>
      </w:pPr>
      <w:r>
        <w:t>2.6 VeriFactu</w:t>
      </w:r>
    </w:p>
    <w:p>
      <w:pPr>
        <w:pStyle w:val="BodyText"/>
        <w:keepLines w:val="0"/>
        <w:spacing w:after="100" w:line="259" w:lineRule="auto"/>
        <w:ind w:left="0"/>
      </w:pPr>
      <w:r>
        <w:rPr>
          <w:rFonts w:ascii="Carlito" w:hAnsi="Carlito" w:eastAsia="Carlito"/>
          <w:i w:val="0"/>
          <w:sz w:val="21"/>
        </w:rPr>
        <w:t>Antes de activar el entorno de producción, deben revisarse los datos de empresa, las series, la generación de fechas y horas, el encadenamiento de registros y la configuración de envío. Los estados y errores se consultan en el monitor de la cola.</w:t>
      </w: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PRODUCCIÓN: </w:t>
            </w:r>
            <w:r>
              <w:rPr>
                <w:rFonts w:ascii="Carlito" w:hAnsi="Carlito" w:eastAsia="Carlito"/>
                <w:color w:val="000000"/>
                <w:sz w:val="19"/>
              </w:rPr>
              <w:t>La indicación Sistema en producción debe ser visible y destacada. No activar el entorno real hasta completar pruebas controladas.</w:t>
            </w:r>
          </w:p>
        </w:tc>
      </w:tr>
    </w:tbl>
    <w:p>
      <w:pPr>
        <w:spacing w:after="20"/>
      </w:pPr>
    </w:p>
    <w:p>
      <w:pPr>
        <w:pStyle w:val="Heading2"/>
        <w:keepNext/>
      </w:pPr>
      <w:r>
        <w:t>2.7 Copias de seguridad iniciales</w:t>
      </w:r>
    </w:p>
    <w:p>
      <w:pPr>
        <w:pStyle w:val="BodyText"/>
        <w:keepLines w:val="0"/>
        <w:spacing w:after="100" w:line="259" w:lineRule="auto"/>
        <w:ind w:left="0"/>
      </w:pPr>
      <w:r>
        <w:rPr>
          <w:rFonts w:ascii="Carlito" w:hAnsi="Carlito" w:eastAsia="Carlito"/>
          <w:i w:val="0"/>
          <w:sz w:val="21"/>
        </w:rPr>
        <w:t>Debe existir al menos una copia completa antes de comenzar a trabajar y otra antes de cualquier cambio importante. Una copia solo es fiable cuando puede restaurarse correctamente.</w:t>
      </w:r>
    </w:p>
    <w:p>
      <w:pPr>
        <w:pStyle w:val="ListBullet"/>
        <w:spacing w:after="40" w:line="240" w:lineRule="auto"/>
      </w:pPr>
      <w:r>
        <w:rPr>
          <w:rFonts w:ascii="Carlito" w:hAnsi="Carlito" w:eastAsia="Carlito"/>
          <w:sz w:val="20"/>
        </w:rPr>
        <w:t>Guardar una copia fuera del servidor principal.</w:t>
      </w:r>
    </w:p>
    <w:p>
      <w:pPr>
        <w:pStyle w:val="ListBullet"/>
        <w:spacing w:after="40" w:line="240" w:lineRule="auto"/>
      </w:pPr>
      <w:r>
        <w:rPr>
          <w:rFonts w:ascii="Carlito" w:hAnsi="Carlito" w:eastAsia="Carlito"/>
          <w:sz w:val="20"/>
        </w:rPr>
        <w:t>Conservar varias fechas, no únicamente la última.</w:t>
      </w:r>
    </w:p>
    <w:p>
      <w:pPr>
        <w:pStyle w:val="ListBullet"/>
        <w:spacing w:after="40" w:line="240" w:lineRule="auto"/>
      </w:pPr>
      <w:r>
        <w:rPr>
          <w:rFonts w:ascii="Carlito" w:hAnsi="Carlito" w:eastAsia="Carlito"/>
          <w:sz w:val="20"/>
        </w:rPr>
        <w:t>Registrar qué versión del programa y de la base de datos corresponde a cada copia.</w:t>
      </w:r>
    </w:p>
    <w:p>
      <w:pPr>
        <w:pStyle w:val="ListBullet"/>
        <w:spacing w:after="40" w:line="240" w:lineRule="auto"/>
      </w:pPr>
      <w:r>
        <w:rPr>
          <w:rFonts w:ascii="Carlito" w:hAnsi="Carlito" w:eastAsia="Carlito"/>
          <w:sz w:val="20"/>
        </w:rPr>
        <w:t>Probar periódicamente la restauración en un entorno separado.</w:t>
      </w:r>
    </w:p>
    <w:p>
      <w:bookmarkStart w:id="5" w:name="cap3"/>
      <w:pPr>
        <w:pStyle w:val="Heading1"/>
        <w:keepNext/>
      </w:pPr>
      <w:r>
        <w:t>3. Clientes</w:t>
      </w:r>
      <w:bookmarkEnd w:id="5"/>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ESTADO: </w:t>
            </w:r>
            <w:r>
              <w:rPr>
                <w:rFonts w:ascii="Carlito" w:hAnsi="Carlito" w:eastAsia="Carlito"/>
                <w:color w:val="000000"/>
                <w:sz w:val="19"/>
              </w:rPr>
              <w:t>Basado en la versión validada clientes_moderno_v2_fix13_selector_formulario_facturas.zip.</w:t>
            </w:r>
          </w:p>
        </w:tc>
      </w:tr>
    </w:tbl>
    <w:p>
      <w:pPr>
        <w:spacing w:after="20"/>
      </w:pPr>
    </w:p>
    <w:p>
      <w:pPr>
        <w:pStyle w:val="Heading2"/>
        <w:keepNext/>
      </w:pPr>
      <w:r>
        <w:t>3.1 Acceso y foco inicial</w:t>
      </w:r>
    </w:p>
    <w:p>
      <w:pPr>
        <w:pStyle w:val="BodyText"/>
        <w:keepLines w:val="0"/>
        <w:spacing w:after="100" w:line="259" w:lineRule="auto"/>
        <w:ind w:left="0"/>
      </w:pPr>
      <w:r>
        <w:rPr>
          <w:rFonts w:ascii="Carlito" w:hAnsi="Carlito" w:eastAsia="Carlito"/>
          <w:i w:val="0"/>
          <w:sz w:val="21"/>
        </w:rPr>
        <w:t>Al abrir el formulario de Clientes, el foco debe situarse en el campo Código, que es el punto de entrada principal. Esto permite consultar o crear clientes sin utilizar el ratón.</w:t>
      </w:r>
    </w:p>
    <w:p>
      <w:pPr>
        <w:pStyle w:val="ListBullet"/>
        <w:spacing w:after="40" w:line="240" w:lineRule="auto"/>
      </w:pPr>
      <w:r>
        <w:rPr>
          <w:rFonts w:ascii="Carlito" w:hAnsi="Carlito" w:eastAsia="Carlito"/>
          <w:sz w:val="20"/>
        </w:rPr>
        <w:t>ESC cierra el formulario desde la página principal.</w:t>
      </w:r>
    </w:p>
    <w:p>
      <w:pPr>
        <w:pStyle w:val="ListBullet"/>
        <w:spacing w:after="40" w:line="240" w:lineRule="auto"/>
      </w:pPr>
      <w:r>
        <w:rPr>
          <w:rFonts w:ascii="Carlito" w:hAnsi="Carlito" w:eastAsia="Carlito"/>
          <w:sz w:val="20"/>
        </w:rPr>
        <w:t>Si existe un selector, diálogo o edición pendiente, ESC debe atender primero ese elemento.</w:t>
      </w:r>
    </w:p>
    <w:p>
      <w:pPr>
        <w:pStyle w:val="ListBullet"/>
        <w:spacing w:after="40" w:line="240" w:lineRule="auto"/>
      </w:pPr>
      <w:r>
        <w:rPr>
          <w:rFonts w:ascii="Carlito" w:hAnsi="Carlito" w:eastAsia="Carlito"/>
          <w:sz w:val="20"/>
        </w:rPr>
        <w:t>Los grids permiten ordenar por columnas y muestran el sentido de ordenación.</w:t>
      </w:r>
    </w:p>
    <w:p>
      <w:pPr>
        <w:pStyle w:val="Heading2"/>
        <w:keepNext/>
      </w:pPr>
      <w:r>
        <w:t>3.2 Consultar un cliente</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Escribir el código si se conoce y confirmar.</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Utilizar la búsqueda por nombre, razón social, NIF o datos relacionados cuando no se conozca el código.</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Revisar la ficha completa antes de modificarla, especialmente condiciones fiscales, tarifas y opciones de facturación.</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Comprobar documentos asociados desde los selectores o pestañas disponibles.</w:t>
      </w:r>
    </w:p>
    <w:p>
      <w:pPr>
        <w:pStyle w:val="Heading2"/>
        <w:keepNext/>
      </w:pPr>
      <w:r>
        <w:t>3.3 Crear un cliente</w:t>
      </w:r>
    </w:p>
    <w:p>
      <w:pPr>
        <w:pStyle w:val="BodyText"/>
        <w:keepLines w:val="0"/>
        <w:spacing w:after="100" w:line="259" w:lineRule="auto"/>
        <w:ind w:left="0"/>
      </w:pPr>
      <w:r>
        <w:rPr>
          <w:rFonts w:ascii="Carlito" w:hAnsi="Carlito" w:eastAsia="Carlito"/>
          <w:i w:val="0"/>
          <w:sz w:val="21"/>
        </w:rPr>
        <w:t>El código propuesto debe respetar la misma lógica utilizada por Ventas y por la ficha de Clientes. Antes de guardar, debe comprobarse que el cliente no existe con otro código.</w:t>
      </w:r>
    </w:p>
    <w:tbl>
      <w:tblPr>
        <w:tblW w:type="auto" w:w="0"/>
        <w:jc w:val="center"/>
        <w:tblLayout w:type="fixed"/>
        <w:tblLook w:firstColumn="1" w:firstRow="1" w:lastColumn="0" w:lastRow="0" w:noHBand="0" w:noVBand="1" w:val="04A0"/>
      </w:tblPr>
      <w:tblGrid>
        <w:gridCol w:w="4929"/>
        <w:gridCol w:w="4929"/>
      </w:tblGrid>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Código correcto y no duplicado.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Nombre o razón social completo.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NIF/CIF/DNI/NIE revisado.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Dirección, población, provincia y código postal.</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Teléfono y correo electrónico.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Forma de pago y condiciones comerciales.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Serie o circuito de facturación cuando proceda.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Opciones especiales C41, C42, C55, C56 y C57 revisadas cuando sean aplicables.</w:t>
            </w:r>
          </w:p>
        </w:tc>
      </w:tr>
    </w:tbl>
    <w:p>
      <w:pPr>
        <w:spacing w:after="40"/>
      </w:pPr>
    </w:p>
    <w:p>
      <w:pPr>
        <w:pStyle w:val="Heading2"/>
        <w:keepNext/>
      </w:pPr>
      <w:r>
        <w:t>3.4 Coincidencias de NIF</w:t>
      </w:r>
    </w:p>
    <w:p>
      <w:pPr>
        <w:pStyle w:val="BodyText"/>
        <w:keepLines w:val="0"/>
        <w:spacing w:after="100" w:line="259" w:lineRule="auto"/>
        <w:ind w:left="0"/>
      </w:pPr>
      <w:r>
        <w:rPr>
          <w:rFonts w:ascii="Carlito" w:hAnsi="Carlito" w:eastAsia="Carlito"/>
          <w:i w:val="0"/>
          <w:sz w:val="21"/>
        </w:rPr>
        <w:t>Cuando un NIF coincide con más de un cliente, no debe seleccionarse automáticamente el primer registro. Debe mostrarse una ventana con todas las coincidencias para que el usuario elija la entidad correcta. Este caso aparece con frecuencia en entidades públicas, grupos relacionados o fichas históricas.</w:t>
      </w: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BUENAS PRÁCTICAS: </w:t>
            </w:r>
            <w:r>
              <w:rPr>
                <w:rFonts w:ascii="Carlito" w:hAnsi="Carlito" w:eastAsia="Carlito"/>
                <w:color w:val="000000"/>
                <w:sz w:val="19"/>
              </w:rPr>
              <w:t>No utilizar únicamente el NIF para decidir el cliente. Comparar también nombre, dirección, centro, departamento y código interno.</w:t>
            </w:r>
          </w:p>
        </w:tc>
      </w:tr>
    </w:tbl>
    <w:p>
      <w:pPr>
        <w:spacing w:after="20"/>
      </w:pPr>
    </w:p>
    <w:p>
      <w:pPr>
        <w:pStyle w:val="Heading2"/>
        <w:keepNext/>
      </w:pPr>
      <w:r>
        <w:t>3.5 Cliente a precio de coste</w:t>
      </w:r>
    </w:p>
    <w:p>
      <w:pPr>
        <w:pStyle w:val="BodyText"/>
        <w:keepLines w:val="0"/>
        <w:spacing w:after="100" w:line="259" w:lineRule="auto"/>
        <w:ind w:left="0"/>
      </w:pPr>
      <w:r>
        <w:rPr>
          <w:rFonts w:ascii="Carlito" w:hAnsi="Carlito" w:eastAsia="Carlito"/>
          <w:i w:val="0"/>
          <w:sz w:val="21"/>
        </w:rPr>
        <w:t>La opción asociada al campo C57 permite identificar clientes cuyas ventas deben calcularse con precios de coste, por ejemplo para consumo propio. Esta función requiere una revisión fiscal cuidadosa y debe comprobarse en Ventas antes de utilizarla de forma general.</w:t>
      </w: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PENDIENTE DE VALIDACIÓN COMPLETA: </w:t>
            </w:r>
            <w:r>
              <w:rPr>
                <w:rFonts w:ascii="Carlito" w:hAnsi="Carlito" w:eastAsia="Carlito"/>
                <w:color w:val="000000"/>
                <w:sz w:val="19"/>
              </w:rPr>
              <w:t>La lógica comercial puede estar implementada, pero el tratamiento del IVA, márgenes, descuentos, estadísticas y documentos debe comprobarse en cada circuito.</w:t>
            </w:r>
          </w:p>
        </w:tc>
      </w:tr>
    </w:tbl>
    <w:p>
      <w:pPr>
        <w:spacing w:after="20"/>
      </w:pPr>
    </w:p>
    <w:p>
      <w:pPr>
        <w:pStyle w:val="Heading2"/>
        <w:keepNext/>
      </w:pPr>
      <w:r>
        <w:t>3.6 Modificación y borrado</w:t>
      </w:r>
    </w:p>
    <w:p>
      <w:pPr>
        <w:pStyle w:val="BodyText"/>
        <w:keepLines w:val="0"/>
        <w:spacing w:after="100" w:line="259" w:lineRule="auto"/>
        <w:ind w:left="0"/>
      </w:pPr>
      <w:r>
        <w:rPr>
          <w:rFonts w:ascii="Carlito" w:hAnsi="Carlito" w:eastAsia="Carlito"/>
          <w:i w:val="0"/>
          <w:sz w:val="21"/>
        </w:rPr>
        <w:t>Antes de modificar datos fiscales o comerciales, debe revisarse si el cliente tiene documentos pendientes. El borrado físico de clientes con histórico puede afectar consultas y trazabilidad; cuando sea posible, es preferible desactivar o marcar la ficha en lugar de eliminarla.</w:t>
      </w:r>
    </w:p>
    <w:p>
      <w:pPr>
        <w:pStyle w:val="Heading2"/>
        <w:keepNext/>
      </w:pPr>
      <w:r>
        <w:t>3.7 Lista de comprobación</w:t>
      </w:r>
    </w:p>
    <w:tbl>
      <w:tblPr>
        <w:tblW w:type="auto" w:w="0"/>
        <w:jc w:val="center"/>
        <w:tblLayout w:type="fixed"/>
        <w:tblLook w:firstColumn="1" w:firstRow="1" w:lastColumn="0" w:lastRow="0" w:noHBand="0" w:noVBand="1" w:val="04A0"/>
      </w:tblPr>
      <w:tblGrid>
        <w:gridCol w:w="4929"/>
        <w:gridCol w:w="4929"/>
      </w:tblGrid>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El foco entra en Código.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 búsqueda general se abre centrada y permite ver el formulario de origen.</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Las columnas ordenan correctamente.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Los botones de búsqueda y rutas son visibles.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Las opciones críticas no quedan ocultas.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ESC vuelve al menú sin cerrar diálogos de forma insegura.</w:t>
            </w:r>
          </w:p>
        </w:tc>
      </w:tr>
    </w:tbl>
    <w:p>
      <w:pPr>
        <w:spacing w:after="40"/>
      </w:pPr>
    </w:p>
    <w:tbl>
      <w:tblPr>
        <w:tblW w:type="auto" w:w="0"/>
        <w:jc w:val="center"/>
        <w:tblLook w:firstColumn="1" w:firstRow="1" w:lastColumn="0" w:lastRow="0" w:noHBand="0" w:noVBand="1" w:val="04A0"/>
      </w:tblPr>
      <w:tblGrid>
        <w:gridCol w:w="9859"/>
      </w:tblGrid>
      <w:tr>
        <w:trPr>
          <w:cantSplit/>
        </w:trPr>
        <w:tc>
          <w:tcPr>
            <w:tcW w:type="dxa" w:w="9859"/>
            <w:shd w:fill="F2F2F2"/>
            <w:vAlign w:val="center"/>
            <w:tcBorders>
              <w:top w:val="dashed" w:sz="8" w:color="A6A6A6"/>
              <w:left w:val="dashed" w:sz="8" w:color="A6A6A6"/>
              <w:bottom w:val="dashed" w:sz="8" w:color="A6A6A6"/>
              <w:right w:val="dashed" w:sz="8" w:color="A6A6A6"/>
            </w:tcBorders>
          </w:tcPr>
          <w:p>
            <w:pPr>
              <w:jc w:val="center"/>
            </w:pPr>
            <w:r>
              <w:rPr>
                <w:rFonts w:ascii="Carlito" w:hAnsi="Carlito" w:eastAsia="Carlito"/>
                <w:b/>
                <w:color w:val="666666"/>
                <w:sz w:val="20"/>
              </w:rPr>
              <w:t>CAPTURA PENDIENTE</w:t>
              <w:br/>
              <w:t>Ficha de cliente con campos principales y opciones críticas</w:t>
            </w:r>
          </w:p>
        </w:tc>
      </w:tr>
    </w:tbl>
    <w:p>
      <w:pPr>
        <w:spacing w:after="40"/>
      </w:pPr>
    </w:p>
    <w:p>
      <w:bookmarkStart w:id="6" w:name="cap4"/>
      <w:pPr>
        <w:pStyle w:val="Heading1"/>
        <w:keepNext/>
      </w:pPr>
      <w:r>
        <w:t>4. Artículos, familias y tarifas</w:t>
      </w:r>
      <w:bookmarkEnd w:id="6"/>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ESTADO: </w:t>
            </w:r>
            <w:r>
              <w:rPr>
                <w:rFonts w:ascii="Carlito" w:hAnsi="Carlito" w:eastAsia="Carlito"/>
                <w:color w:val="000000"/>
                <w:sz w:val="19"/>
              </w:rPr>
              <w:t>Capítulo funcional. La modernización visual de Artículos se considera finalizada de momento, pendiente de capturas definitivas.</w:t>
            </w:r>
          </w:p>
        </w:tc>
      </w:tr>
    </w:tbl>
    <w:p>
      <w:pPr>
        <w:spacing w:after="20"/>
      </w:pPr>
    </w:p>
    <w:p>
      <w:pPr>
        <w:pStyle w:val="Heading2"/>
        <w:keepNext/>
      </w:pPr>
      <w:r>
        <w:t>4.1 Ficha de artículos</w:t>
      </w:r>
    </w:p>
    <w:p>
      <w:pPr>
        <w:pStyle w:val="BodyText"/>
        <w:keepLines w:val="0"/>
        <w:spacing w:after="100" w:line="259" w:lineRule="auto"/>
        <w:ind w:left="0"/>
      </w:pPr>
      <w:r>
        <w:rPr>
          <w:rFonts w:ascii="Carlito" w:hAnsi="Carlito" w:eastAsia="Carlito"/>
          <w:i w:val="0"/>
          <w:sz w:val="21"/>
        </w:rPr>
        <w:t>El formulario de Artículos centraliza descripción, códigos, precios, costes, impuestos, familia, proveedor, EAN, existencias y opciones comerciales. Al abrirlo, el foco debe situarse en el campo Código.</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1928"/>
            <w:shd w:fill="1F4E78"/>
            <w:vAlign w:val="center"/>
          </w:tcPr>
          <w:p>
            <w:r>
              <w:rPr>
                <w:rFonts w:ascii="Carlito" w:hAnsi="Carlito" w:eastAsia="Carlito"/>
                <w:b/>
                <w:color w:val="FFFFFF"/>
                <w:sz w:val="18"/>
              </w:rPr>
              <w:t>Dato</w:t>
            </w:r>
          </w:p>
        </w:tc>
        <w:tc>
          <w:tcPr>
            <w:tcW w:type="dxa" w:w="1871"/>
            <w:shd w:fill="1F4E78"/>
            <w:vAlign w:val="center"/>
          </w:tcPr>
          <w:p>
            <w:r>
              <w:rPr>
                <w:rFonts w:ascii="Carlito" w:hAnsi="Carlito" w:eastAsia="Carlito"/>
                <w:b/>
                <w:color w:val="FFFFFF"/>
                <w:sz w:val="18"/>
              </w:rPr>
              <w:t>Referencia técnica</w:t>
            </w:r>
          </w:p>
        </w:tc>
        <w:tc>
          <w:tcPr>
            <w:tcW w:type="dxa" w:w="5216"/>
            <w:shd w:fill="1F4E78"/>
            <w:vAlign w:val="center"/>
          </w:tcPr>
          <w:p>
            <w:r>
              <w:rPr>
                <w:rFonts w:ascii="Carlito" w:hAnsi="Carlito" w:eastAsia="Carlito"/>
                <w:b/>
                <w:color w:val="FFFFFF"/>
                <w:sz w:val="18"/>
              </w:rPr>
              <w:t>Uso</w:t>
            </w:r>
          </w:p>
        </w:tc>
      </w:tr>
      <w:tr>
        <w:trPr>
          <w:cantSplit/>
        </w:trPr>
        <w:tc>
          <w:tcPr>
            <w:tcW w:type="dxa" w:w="1928"/>
            <w:vAlign w:val="center"/>
          </w:tcPr>
          <w:p>
            <w:r>
              <w:rPr>
                <w:rFonts w:ascii="Carlito" w:hAnsi="Carlito" w:eastAsia="Carlito"/>
                <w:sz w:val="18"/>
              </w:rPr>
              <w:t>Código</w:t>
            </w:r>
          </w:p>
        </w:tc>
        <w:tc>
          <w:tcPr>
            <w:tcW w:type="dxa" w:w="1871"/>
            <w:vAlign w:val="center"/>
          </w:tcPr>
          <w:p>
            <w:r>
              <w:rPr>
                <w:rFonts w:ascii="Carlito" w:hAnsi="Carlito" w:eastAsia="Carlito"/>
                <w:sz w:val="18"/>
              </w:rPr>
              <w:t>A0</w:t>
            </w:r>
          </w:p>
        </w:tc>
        <w:tc>
          <w:tcPr>
            <w:tcW w:type="dxa" w:w="5216"/>
            <w:vAlign w:val="center"/>
          </w:tcPr>
          <w:p>
            <w:r>
              <w:rPr>
                <w:rFonts w:ascii="Carlito" w:hAnsi="Carlito" w:eastAsia="Carlito"/>
                <w:sz w:val="18"/>
              </w:rPr>
              <w:t>Identificación principal del artículo.</w:t>
            </w:r>
          </w:p>
        </w:tc>
      </w:tr>
      <w:tr>
        <w:trPr>
          <w:cantSplit/>
        </w:trPr>
        <w:tc>
          <w:tcPr>
            <w:tcW w:type="dxa" w:w="1928"/>
            <w:shd w:fill="F2F2F2"/>
            <w:vAlign w:val="center"/>
          </w:tcPr>
          <w:p>
            <w:r>
              <w:rPr>
                <w:rFonts w:ascii="Carlito" w:hAnsi="Carlito" w:eastAsia="Carlito"/>
                <w:sz w:val="18"/>
              </w:rPr>
              <w:t>Descripción</w:t>
            </w:r>
          </w:p>
        </w:tc>
        <w:tc>
          <w:tcPr>
            <w:tcW w:type="dxa" w:w="1871"/>
            <w:shd w:fill="F2F2F2"/>
            <w:vAlign w:val="center"/>
          </w:tcPr>
          <w:p>
            <w:r>
              <w:rPr>
                <w:rFonts w:ascii="Carlito" w:hAnsi="Carlito" w:eastAsia="Carlito"/>
                <w:sz w:val="18"/>
              </w:rPr>
              <w:t>A1</w:t>
            </w:r>
          </w:p>
        </w:tc>
        <w:tc>
          <w:tcPr>
            <w:tcW w:type="dxa" w:w="5216"/>
            <w:shd w:fill="F2F2F2"/>
            <w:vAlign w:val="center"/>
          </w:tcPr>
          <w:p>
            <w:r>
              <w:rPr>
                <w:rFonts w:ascii="Carlito" w:hAnsi="Carlito" w:eastAsia="Carlito"/>
                <w:sz w:val="18"/>
              </w:rPr>
              <w:t>Texto comercial del artículo.</w:t>
            </w:r>
          </w:p>
        </w:tc>
      </w:tr>
      <w:tr>
        <w:trPr>
          <w:cantSplit/>
        </w:trPr>
        <w:tc>
          <w:tcPr>
            <w:tcW w:type="dxa" w:w="1928"/>
            <w:vAlign w:val="center"/>
          </w:tcPr>
          <w:p>
            <w:r>
              <w:rPr>
                <w:rFonts w:ascii="Carlito" w:hAnsi="Carlito" w:eastAsia="Carlito"/>
                <w:sz w:val="18"/>
              </w:rPr>
              <w:t>PVP con IVA</w:t>
            </w:r>
          </w:p>
        </w:tc>
        <w:tc>
          <w:tcPr>
            <w:tcW w:type="dxa" w:w="1871"/>
            <w:vAlign w:val="center"/>
          </w:tcPr>
          <w:p>
            <w:r>
              <w:rPr>
                <w:rFonts w:ascii="Carlito" w:hAnsi="Carlito" w:eastAsia="Carlito"/>
                <w:sz w:val="18"/>
              </w:rPr>
              <w:t>A2</w:t>
            </w:r>
          </w:p>
        </w:tc>
        <w:tc>
          <w:tcPr>
            <w:tcW w:type="dxa" w:w="5216"/>
            <w:vAlign w:val="center"/>
          </w:tcPr>
          <w:p>
            <w:r>
              <w:rPr>
                <w:rFonts w:ascii="Carlito" w:hAnsi="Carlito" w:eastAsia="Carlito"/>
                <w:sz w:val="18"/>
              </w:rPr>
              <w:t>Precio de venta final con impuestos.</w:t>
            </w:r>
          </w:p>
        </w:tc>
      </w:tr>
      <w:tr>
        <w:trPr>
          <w:cantSplit/>
        </w:trPr>
        <w:tc>
          <w:tcPr>
            <w:tcW w:type="dxa" w:w="1928"/>
            <w:shd w:fill="F2F2F2"/>
            <w:vAlign w:val="center"/>
          </w:tcPr>
          <w:p>
            <w:r>
              <w:rPr>
                <w:rFonts w:ascii="Carlito" w:hAnsi="Carlito" w:eastAsia="Carlito"/>
                <w:sz w:val="18"/>
              </w:rPr>
              <w:t>PVP sin IVA</w:t>
            </w:r>
          </w:p>
        </w:tc>
        <w:tc>
          <w:tcPr>
            <w:tcW w:type="dxa" w:w="1871"/>
            <w:shd w:fill="F2F2F2"/>
            <w:vAlign w:val="center"/>
          </w:tcPr>
          <w:p>
            <w:r>
              <w:rPr>
                <w:rFonts w:ascii="Carlito" w:hAnsi="Carlito" w:eastAsia="Carlito"/>
                <w:sz w:val="18"/>
              </w:rPr>
              <w:t>A21</w:t>
            </w:r>
          </w:p>
        </w:tc>
        <w:tc>
          <w:tcPr>
            <w:tcW w:type="dxa" w:w="5216"/>
            <w:shd w:fill="F2F2F2"/>
            <w:vAlign w:val="center"/>
          </w:tcPr>
          <w:p>
            <w:r>
              <w:rPr>
                <w:rFonts w:ascii="Carlito" w:hAnsi="Carlito" w:eastAsia="Carlito"/>
                <w:sz w:val="18"/>
              </w:rPr>
              <w:t>Precio de venta antes de impuestos.</w:t>
            </w:r>
          </w:p>
        </w:tc>
      </w:tr>
      <w:tr>
        <w:trPr>
          <w:cantSplit/>
        </w:trPr>
        <w:tc>
          <w:tcPr>
            <w:tcW w:type="dxa" w:w="1928"/>
            <w:vAlign w:val="center"/>
          </w:tcPr>
          <w:p>
            <w:r>
              <w:rPr>
                <w:rFonts w:ascii="Carlito" w:hAnsi="Carlito" w:eastAsia="Carlito"/>
                <w:sz w:val="18"/>
              </w:rPr>
              <w:t>Precio de coste</w:t>
            </w:r>
          </w:p>
        </w:tc>
        <w:tc>
          <w:tcPr>
            <w:tcW w:type="dxa" w:w="1871"/>
            <w:vAlign w:val="center"/>
          </w:tcPr>
          <w:p>
            <w:r>
              <w:rPr>
                <w:rFonts w:ascii="Carlito" w:hAnsi="Carlito" w:eastAsia="Carlito"/>
                <w:sz w:val="18"/>
              </w:rPr>
              <w:t>A24</w:t>
            </w:r>
          </w:p>
        </w:tc>
        <w:tc>
          <w:tcPr>
            <w:tcW w:type="dxa" w:w="5216"/>
            <w:vAlign w:val="center"/>
          </w:tcPr>
          <w:p>
            <w:r>
              <w:rPr>
                <w:rFonts w:ascii="Carlito" w:hAnsi="Carlito" w:eastAsia="Carlito"/>
                <w:sz w:val="18"/>
              </w:rPr>
              <w:t>Coste utilizado en márgenes y procesos internos.</w:t>
            </w:r>
          </w:p>
        </w:tc>
      </w:tr>
      <w:tr>
        <w:trPr>
          <w:cantSplit/>
        </w:trPr>
        <w:tc>
          <w:tcPr>
            <w:tcW w:type="dxa" w:w="1928"/>
            <w:shd w:fill="F2F2F2"/>
            <w:vAlign w:val="center"/>
          </w:tcPr>
          <w:p>
            <w:r>
              <w:rPr>
                <w:rFonts w:ascii="Carlito" w:hAnsi="Carlito" w:eastAsia="Carlito"/>
                <w:sz w:val="18"/>
              </w:rPr>
              <w:t>Familia</w:t>
            </w:r>
          </w:p>
        </w:tc>
        <w:tc>
          <w:tcPr>
            <w:tcW w:type="dxa" w:w="1871"/>
            <w:shd w:fill="F2F2F2"/>
            <w:vAlign w:val="center"/>
          </w:tcPr>
          <w:p>
            <w:r>
              <w:rPr>
                <w:rFonts w:ascii="Carlito" w:hAnsi="Carlito" w:eastAsia="Carlito"/>
                <w:sz w:val="18"/>
              </w:rPr>
              <w:t>A14</w:t>
            </w:r>
          </w:p>
        </w:tc>
        <w:tc>
          <w:tcPr>
            <w:tcW w:type="dxa" w:w="5216"/>
            <w:shd w:fill="F2F2F2"/>
            <w:vAlign w:val="center"/>
          </w:tcPr>
          <w:p>
            <w:r>
              <w:rPr>
                <w:rFonts w:ascii="Carlito" w:hAnsi="Carlito" w:eastAsia="Carlito"/>
                <w:sz w:val="18"/>
              </w:rPr>
              <w:t>Clasificación para filtros, estadísticas y teclado.</w:t>
            </w:r>
          </w:p>
        </w:tc>
      </w:tr>
      <w:tr>
        <w:trPr>
          <w:cantSplit/>
        </w:trPr>
        <w:tc>
          <w:tcPr>
            <w:tcW w:type="dxa" w:w="1928"/>
            <w:vAlign w:val="center"/>
          </w:tcPr>
          <w:p>
            <w:r>
              <w:rPr>
                <w:rFonts w:ascii="Carlito" w:hAnsi="Carlito" w:eastAsia="Carlito"/>
                <w:sz w:val="18"/>
              </w:rPr>
              <w:t>Proveedor</w:t>
            </w:r>
          </w:p>
        </w:tc>
        <w:tc>
          <w:tcPr>
            <w:tcW w:type="dxa" w:w="1871"/>
            <w:vAlign w:val="center"/>
          </w:tcPr>
          <w:p>
            <w:r>
              <w:rPr>
                <w:rFonts w:ascii="Carlito" w:hAnsi="Carlito" w:eastAsia="Carlito"/>
                <w:sz w:val="18"/>
              </w:rPr>
              <w:t>A32</w:t>
            </w:r>
          </w:p>
        </w:tc>
        <w:tc>
          <w:tcPr>
            <w:tcW w:type="dxa" w:w="5216"/>
            <w:vAlign w:val="center"/>
          </w:tcPr>
          <w:p>
            <w:r>
              <w:rPr>
                <w:rFonts w:ascii="Carlito" w:hAnsi="Carlito" w:eastAsia="Carlito"/>
                <w:sz w:val="18"/>
              </w:rPr>
              <w:t>Proveedor principal o de referencia.</w:t>
            </w:r>
          </w:p>
        </w:tc>
      </w:tr>
    </w:tbl>
    <w:p>
      <w:pPr>
        <w:spacing w:after="40"/>
      </w:pPr>
    </w:p>
    <w:p>
      <w:pPr>
        <w:pStyle w:val="Heading2"/>
        <w:keepNext/>
      </w:pPr>
      <w:r>
        <w:t>4.2 Distribución de costes y tarifas</w:t>
      </w:r>
    </w:p>
    <w:p>
      <w:pPr>
        <w:pStyle w:val="BodyText"/>
        <w:keepLines w:val="0"/>
        <w:spacing w:after="100" w:line="259" w:lineRule="auto"/>
        <w:ind w:left="0"/>
      </w:pPr>
      <w:r>
        <w:rPr>
          <w:rFonts w:ascii="Carlito" w:hAnsi="Carlito" w:eastAsia="Carlito"/>
          <w:i w:val="0"/>
          <w:sz w:val="21"/>
        </w:rPr>
        <w:t>El campo Precio de coste debe aparecer en la pestaña Costes y Tarifas, dentro del bloque Datos de compras, después de % Descuento 2. Los bloques Datos de compras y Datos de ventas deben disponer de anchura suficiente para trabajar sin amontonamientos.</w:t>
      </w:r>
    </w:p>
    <w:p>
      <w:pPr>
        <w:pStyle w:val="ListBullet"/>
        <w:spacing w:after="40" w:line="240" w:lineRule="auto"/>
      </w:pPr>
      <w:r>
        <w:rPr>
          <w:rFonts w:ascii="Carlito" w:hAnsi="Carlito" w:eastAsia="Carlito"/>
          <w:sz w:val="20"/>
        </w:rPr>
        <w:t>Revisar que el PVP con IVA y sin IVA sean coherentes con el tipo de IVA.</w:t>
      </w:r>
    </w:p>
    <w:p>
      <w:pPr>
        <w:pStyle w:val="ListBullet"/>
        <w:spacing w:after="40" w:line="240" w:lineRule="auto"/>
      </w:pPr>
      <w:r>
        <w:rPr>
          <w:rFonts w:ascii="Carlito" w:hAnsi="Carlito" w:eastAsia="Carlito"/>
          <w:sz w:val="20"/>
        </w:rPr>
        <w:t>Comprobar el coste antes de aplicar actualizaciones automáticas o márgenes mínimos.</w:t>
      </w:r>
    </w:p>
    <w:p>
      <w:pPr>
        <w:pStyle w:val="ListBullet"/>
        <w:spacing w:after="40" w:line="240" w:lineRule="auto"/>
      </w:pPr>
      <w:r>
        <w:rPr>
          <w:rFonts w:ascii="Carlito" w:hAnsi="Carlito" w:eastAsia="Carlito"/>
          <w:sz w:val="20"/>
        </w:rPr>
        <w:t>Verificar las tarifas especiales y sus redondeos.</w:t>
      </w:r>
    </w:p>
    <w:p>
      <w:pPr>
        <w:pStyle w:val="ListBullet"/>
        <w:spacing w:after="40" w:line="240" w:lineRule="auto"/>
      </w:pPr>
      <w:r>
        <w:rPr>
          <w:rFonts w:ascii="Carlito" w:hAnsi="Carlito" w:eastAsia="Carlito"/>
          <w:sz w:val="20"/>
        </w:rPr>
        <w:t>No confundir el precio estadístico vendido con el PVP de tarifa cuando existe descuento.</w:t>
      </w:r>
    </w:p>
    <w:p>
      <w:pPr>
        <w:pStyle w:val="Heading2"/>
        <w:keepNext/>
      </w:pPr>
      <w:r>
        <w:t>4.3 Códigos EAN</w:t>
      </w:r>
    </w:p>
    <w:p>
      <w:pPr>
        <w:pStyle w:val="BodyText"/>
        <w:keepLines w:val="0"/>
        <w:spacing w:after="100" w:line="259" w:lineRule="auto"/>
        <w:ind w:left="0"/>
      </w:pPr>
      <w:r>
        <w:rPr>
          <w:rFonts w:ascii="Carlito" w:hAnsi="Carlito" w:eastAsia="Carlito"/>
          <w:i w:val="0"/>
          <w:sz w:val="21"/>
        </w:rPr>
        <w:t>Los códigos EAN permiten localizar artículos desde lectores y procesos de compra o venta. Las tablas de EAN relacionan el código leído con el artículo correspondiente.</w:t>
      </w:r>
    </w:p>
    <w:p>
      <w:pPr>
        <w:pStyle w:val="ListBullet"/>
        <w:spacing w:after="40" w:line="240" w:lineRule="auto"/>
      </w:pPr>
      <w:r>
        <w:rPr>
          <w:rFonts w:ascii="Carlito" w:hAnsi="Carlito" w:eastAsia="Carlito"/>
          <w:sz w:val="20"/>
        </w:rPr>
        <w:t>Evitar EAN duplicados salvo que exista una razón controlada.</w:t>
      </w:r>
    </w:p>
    <w:p>
      <w:pPr>
        <w:pStyle w:val="ListBullet"/>
        <w:spacing w:after="40" w:line="240" w:lineRule="auto"/>
      </w:pPr>
      <w:r>
        <w:rPr>
          <w:rFonts w:ascii="Carlito" w:hAnsi="Carlito" w:eastAsia="Carlito"/>
          <w:sz w:val="20"/>
        </w:rPr>
        <w:t>Comprobar que la búsqueda por EAN encuentra el artículo correcto.</w:t>
      </w:r>
    </w:p>
    <w:p>
      <w:pPr>
        <w:pStyle w:val="ListBullet"/>
        <w:spacing w:after="40" w:line="240" w:lineRule="auto"/>
      </w:pPr>
      <w:r>
        <w:rPr>
          <w:rFonts w:ascii="Carlito" w:hAnsi="Carlito" w:eastAsia="Carlito"/>
          <w:sz w:val="20"/>
        </w:rPr>
        <w:t>Cuando se lea un EAN inexistente, debe estudiarse la opción de asociarlo al artículo adecuado sin interrumpir el flujo de trabajo.</w:t>
      </w:r>
    </w:p>
    <w:p>
      <w:pPr>
        <w:pStyle w:val="Heading2"/>
        <w:keepNext/>
      </w:pPr>
      <w:r>
        <w:t>4.4 Familias y proveedores</w:t>
      </w:r>
    </w:p>
    <w:p>
      <w:pPr>
        <w:pStyle w:val="BodyText"/>
        <w:keepLines w:val="0"/>
        <w:spacing w:after="100" w:line="259" w:lineRule="auto"/>
        <w:ind w:left="0"/>
      </w:pPr>
      <w:r>
        <w:rPr>
          <w:rFonts w:ascii="Carlito" w:hAnsi="Carlito" w:eastAsia="Carlito"/>
          <w:i w:val="0"/>
          <w:sz w:val="21"/>
        </w:rPr>
        <w:t>Las familias facilitan búsquedas, estadísticas, organización del teclado táctil y análisis de ventas. El proveedor principal se utiliza en pedidos automáticos y procesos de reposición.</w:t>
      </w: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CALIDAD DE DATOS: </w:t>
            </w:r>
            <w:r>
              <w:rPr>
                <w:rFonts w:ascii="Carlito" w:hAnsi="Carlito" w:eastAsia="Carlito"/>
                <w:color w:val="000000"/>
                <w:sz w:val="19"/>
              </w:rPr>
              <w:t>Una familia o proveedor incorrectos afectan a pedidos, estadísticas y filtros. Es preferible corregirlos desde la ficha de Artículos y registrar el cambio.</w:t>
            </w:r>
          </w:p>
        </w:tc>
      </w:tr>
    </w:tbl>
    <w:p>
      <w:pPr>
        <w:spacing w:after="20"/>
      </w:pPr>
    </w:p>
    <w:p>
      <w:pPr>
        <w:pStyle w:val="Heading2"/>
        <w:keepNext/>
      </w:pPr>
      <w:r>
        <w:t>4.5 Actualización automática de precios</w:t>
      </w:r>
    </w:p>
    <w:p>
      <w:pPr>
        <w:pStyle w:val="BodyText"/>
        <w:keepLines w:val="0"/>
        <w:spacing w:after="100" w:line="259" w:lineRule="auto"/>
        <w:ind w:left="0"/>
      </w:pPr>
      <w:r>
        <w:rPr>
          <w:rFonts w:ascii="Carlito" w:hAnsi="Carlito" w:eastAsia="Carlito"/>
          <w:i w:val="0"/>
          <w:sz w:val="21"/>
        </w:rPr>
        <w:t>El actualizador de tarifas permite modificar precios aplicando reglas y terminaciones. Puede utilizar terminaciones 5, 9 o 0 y controlar un margen mínimo configurable.</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Seleccionar el conjunto de artículos.</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Definir el criterio de actualización.</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Configurar la terminación deseada.</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Revisar el margen mínimo y los avisos.</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Previsualizar o comprobar una muestra antes de aplicar.</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Registrar o consultar el histórico de cambios de precios.</w:t>
      </w: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CRÍTICO: </w:t>
            </w:r>
            <w:r>
              <w:rPr>
                <w:rFonts w:ascii="Carlito" w:hAnsi="Carlito" w:eastAsia="Carlito"/>
                <w:color w:val="000000"/>
                <w:sz w:val="19"/>
              </w:rPr>
              <w:t>Una actualización masiva puede afectar cientos de artículos. Realizar copia previa y revisar especialmente coste, IVA y redondeos.</w:t>
            </w:r>
          </w:p>
        </w:tc>
      </w:tr>
    </w:tbl>
    <w:p>
      <w:pPr>
        <w:spacing w:after="20"/>
      </w:pPr>
    </w:p>
    <w:p>
      <w:pPr>
        <w:pStyle w:val="Heading2"/>
        <w:keepNext/>
      </w:pPr>
      <w:r>
        <w:t>4.6 Historial de precios y existencias</w:t>
      </w:r>
    </w:p>
    <w:p>
      <w:pPr>
        <w:pStyle w:val="BodyText"/>
        <w:keepLines w:val="0"/>
        <w:spacing w:after="100" w:line="259" w:lineRule="auto"/>
        <w:ind w:left="0"/>
      </w:pPr>
      <w:r>
        <w:rPr>
          <w:rFonts w:ascii="Carlito" w:hAnsi="Carlito" w:eastAsia="Carlito"/>
          <w:i w:val="0"/>
          <w:sz w:val="21"/>
        </w:rPr>
        <w:t>Los cambios de tarifas y existencias deben quedar registrados en los módulos de histórico correspondientes. En Actualización de stocks, Ver historial sin código debe mostrar todos los cambios; al indicar un código, debe filtrar correctamente.</w:t>
      </w:r>
    </w:p>
    <w:p>
      <w:pPr>
        <w:pStyle w:val="ListBullet"/>
        <w:spacing w:after="40" w:line="240" w:lineRule="auto"/>
      </w:pPr>
      <w:r>
        <w:rPr>
          <w:rFonts w:ascii="Carlito" w:hAnsi="Carlito" w:eastAsia="Carlito"/>
          <w:sz w:val="20"/>
        </w:rPr>
        <w:t>Las columnas del historial deben poder ordenarse.</w:t>
      </w:r>
    </w:p>
    <w:p>
      <w:pPr>
        <w:pStyle w:val="ListBullet"/>
        <w:spacing w:after="40" w:line="240" w:lineRule="auto"/>
      </w:pPr>
      <w:r>
        <w:rPr>
          <w:rFonts w:ascii="Carlito" w:hAnsi="Carlito" w:eastAsia="Carlito"/>
          <w:sz w:val="20"/>
        </w:rPr>
        <w:t>La consulta sin filtro no debe limitarse a un único registro.</w:t>
      </w:r>
    </w:p>
    <w:p>
      <w:pPr>
        <w:pStyle w:val="ListBullet"/>
        <w:spacing w:after="40" w:line="240" w:lineRule="auto"/>
      </w:pPr>
      <w:r>
        <w:rPr>
          <w:rFonts w:ascii="Carlito" w:hAnsi="Carlito" w:eastAsia="Carlito"/>
          <w:sz w:val="20"/>
        </w:rPr>
        <w:t>Las fechas, usuarios y valores anterior/nuevo deben ser legibles.</w:t>
      </w:r>
    </w:p>
    <w:p>
      <w:pPr>
        <w:pStyle w:val="Heading2"/>
        <w:keepNext/>
      </w:pPr>
      <w:r>
        <w:t>4.7 Sistema de puntos</w:t>
      </w:r>
    </w:p>
    <w:p>
      <w:pPr>
        <w:pStyle w:val="BodyText"/>
        <w:keepLines w:val="0"/>
        <w:spacing w:after="100" w:line="259" w:lineRule="auto"/>
        <w:ind w:left="0"/>
      </w:pPr>
      <w:r>
        <w:rPr>
          <w:rFonts w:ascii="Carlito" w:hAnsi="Carlito" w:eastAsia="Carlito"/>
          <w:i w:val="0"/>
          <w:sz w:val="21"/>
        </w:rPr>
        <w:t>La zona Nivel de puntos debe tener anchura suficiente para mostrar el texto explicativo completo. Antes de utilizarla, comprobar la configuración comercial y el efecto en clientes y ventas.</w:t>
      </w:r>
    </w:p>
    <w:tbl>
      <w:tblPr>
        <w:tblW w:type="auto" w:w="0"/>
        <w:jc w:val="center"/>
        <w:tblLook w:firstColumn="1" w:firstRow="1" w:lastColumn="0" w:lastRow="0" w:noHBand="0" w:noVBand="1" w:val="04A0"/>
      </w:tblPr>
      <w:tblGrid>
        <w:gridCol w:w="9859"/>
      </w:tblGrid>
      <w:tr>
        <w:trPr>
          <w:cantSplit/>
        </w:trPr>
        <w:tc>
          <w:tcPr>
            <w:tcW w:type="dxa" w:w="9859"/>
            <w:shd w:fill="F2F2F2"/>
            <w:vAlign w:val="center"/>
            <w:tcBorders>
              <w:top w:val="dashed" w:sz="8" w:color="A6A6A6"/>
              <w:left w:val="dashed" w:sz="8" w:color="A6A6A6"/>
              <w:bottom w:val="dashed" w:sz="8" w:color="A6A6A6"/>
              <w:right w:val="dashed" w:sz="8" w:color="A6A6A6"/>
            </w:tcBorders>
          </w:tcPr>
          <w:p>
            <w:pPr>
              <w:jc w:val="center"/>
            </w:pPr>
            <w:r>
              <w:rPr>
                <w:rFonts w:ascii="Carlito" w:hAnsi="Carlito" w:eastAsia="Carlito"/>
                <w:b/>
                <w:color w:val="666666"/>
                <w:sz w:val="20"/>
              </w:rPr>
              <w:t>CAPTURA PENDIENTE</w:t>
              <w:br/>
              <w:t>Ficha de artículo: Datos de compras, Datos de ventas, coste y tarifas</w:t>
            </w:r>
          </w:p>
        </w:tc>
      </w:tr>
    </w:tbl>
    <w:p>
      <w:pPr>
        <w:spacing w:after="40"/>
      </w:pPr>
    </w:p>
    <w:p>
      <w:bookmarkStart w:id="7" w:name="cap5"/>
      <w:pPr>
        <w:pStyle w:val="Heading1"/>
        <w:keepNext/>
      </w:pPr>
      <w:r>
        <w:t>5. Ventas y TPV</w:t>
      </w:r>
      <w:bookmarkEnd w:id="7"/>
    </w:p>
    <w:tbl>
      <w:tblPr>
        <w:tblW w:type="auto" w:w="0"/>
        <w:jc w:val="center"/>
        <w:tblLayout w:type="fixed"/>
        <w:tblLook w:firstColumn="1" w:firstRow="1" w:lastColumn="0" w:lastRow="0" w:noHBand="0" w:noVBand="1" w:val="04A0"/>
      </w:tblPr>
      <w:tblGrid>
        <w:gridCol w:w="4929"/>
        <w:gridCol w:w="4929"/>
      </w:tblGrid>
      <w:tr>
        <w:tc>
          <w:tcPr>
            <w:tcW w:type="dxa" w:w="520"/>
            <w:shd w:fill="16834B"/>
            <w:tcMar>
              <w:top w:w="110" w:type="dxa"/>
              <w:start w:w="70" w:type="dxa"/>
              <w:bottom w:w="110" w:type="dxa"/>
              <w:end w:w="70" w:type="dxa"/>
            </w:tcMar>
            <w:vAlign w:val="center"/>
          </w:tcPr>
          <w:p>
            <w:pPr>
              <w:jc w:val="center"/>
            </w:pPr>
            <w:r>
              <w:rPr>
                <w:b/>
                <w:color w:val="FFFFFF"/>
                <w:sz w:val="32"/>
              </w:rPr>
              <w:t>✓</w:t>
            </w:r>
          </w:p>
        </w:tc>
        <w:tc>
          <w:tcPr>
            <w:tcW w:type="dxa" w:w="8500"/>
            <w:shd w:fill="E8F7EE"/>
            <w:tcMar>
              <w:top w:w="110" w:type="dxa"/>
              <w:start w:w="150" w:type="dxa"/>
              <w:bottom w:w="110" w:type="dxa"/>
              <w:end w:w="150" w:type="dxa"/>
            </w:tcMar>
            <w:vAlign w:val="center"/>
          </w:tcPr>
          <w:p>
            <w:r>
              <w:rPr>
                <w:b/>
                <w:color w:val="16834B"/>
              </w:rPr>
              <w:t xml:space="preserve">ESTADO: </w:t>
            </w:r>
            <w:r>
              <w:t>Basado en la versión de Ventas validada como final y estable, con Puesto visible en cabecera y los atajos Ctrl+O, Ctrl+U y Ctrl+N indicados en la línea inferior. Las capturas principales corresponden a la revisión real del 22/07/2026.</w:t>
            </w:r>
          </w:p>
        </w:tc>
      </w:tr>
    </w:tbl>
    <w:p>
      <w:pPr/>
    </w:p>
    <w:p>
      <w:pPr>
        <w:pStyle w:val="Heading2"/>
      </w:pPr>
      <w:r>
        <w:t>5.1 Objetivo y visión general</w:t>
      </w:r>
    </w:p>
    <w:p>
      <w:pPr>
        <w:pStyle w:val="BodyText"/>
      </w:pPr>
      <w:r>
        <w:t>La pantalla de Ventas es el centro de trabajo del TPV. Desde ella se identifica al cliente, se introducen artículos, se revisan cantidades, precios, descuentos e IVA, se aparcan operaciones, se cobra y se decide el documento que debe emitirse. Su diseño permite trabajar con teclado, ratón, lector de códigos y pantalla táctil.</w:t>
      </w:r>
    </w:p>
    <w:p>
      <w:pPr>
        <w:jc w:val="center"/>
      </w:pPr>
      <w:r>
        <w:drawing>
          <wp:inline xmlns:a="http://schemas.openxmlformats.org/drawingml/2006/main" xmlns:pic="http://schemas.openxmlformats.org/drawingml/2006/picture">
            <wp:extent cx="6144768" cy="3827229"/>
            <wp:docPr id="1" name="Picture 1" descr="Pantalla principal de Ventas de FacturLinEx con ocho zonas numeradas: cabecera, tickets abiertos, cliente, entrada de artículos, líneas, acciones, resumen y atajos." title="Figura 5.1. Pantalla principal de Ventas, captura real anotada de la revisión validada."/>
            <wp:cNvGraphicFramePr>
              <a:graphicFrameLocks noChangeAspect="1"/>
            </wp:cNvGraphicFramePr>
            <a:graphic>
              <a:graphicData uri="http://schemas.openxmlformats.org/drawingml/2006/picture">
                <pic:pic>
                  <pic:nvPicPr>
                    <pic:cNvPr id="0" name="01_ventas_pantalla_general_anotada.png"/>
                    <pic:cNvPicPr/>
                  </pic:nvPicPr>
                  <pic:blipFill>
                    <a:blip r:embed="rId13"/>
                    <a:stretch>
                      <a:fillRect/>
                    </a:stretch>
                  </pic:blipFill>
                  <pic:spPr>
                    <a:xfrm>
                      <a:off x="0" y="0"/>
                      <a:ext cx="6144768" cy="3827229"/>
                    </a:xfrm>
                    <a:prstGeom prst="rect"/>
                  </pic:spPr>
                </pic:pic>
              </a:graphicData>
            </a:graphic>
          </wp:inline>
        </w:drawing>
      </w:r>
    </w:p>
    <w:p>
      <w:pPr>
        <w:pStyle w:val="BodyText"/>
        <w:spacing w:after="160"/>
        <w:jc w:val="center"/>
      </w:pPr>
      <w:r>
        <w:rPr>
          <w:i/>
          <w:color w:val="505A64"/>
          <w:sz w:val="17"/>
        </w:rPr>
        <w:t>Figura 5.1. Pantalla principal de Ventas, captura real anotada de la revisión validada.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700"/>
            <w:shd w:fill="0B4A70"/>
            <w:tcMar>
              <w:top w:w="100" w:type="dxa"/>
              <w:start w:w="100" w:type="dxa"/>
              <w:bottom w:w="100" w:type="dxa"/>
              <w:end w:w="100" w:type="dxa"/>
            </w:tcMar>
          </w:tcPr>
          <w:p>
            <w:pPr>
              <w:jc w:val="center"/>
            </w:pPr>
            <w:r>
              <w:rPr>
                <w:b/>
                <w:color w:val="FFFFFF"/>
                <w:sz w:val="18"/>
              </w:rPr>
              <w:t>N.º</w:t>
            </w:r>
          </w:p>
        </w:tc>
        <w:tc>
          <w:tcPr>
            <w:tcW w:type="dxa" w:w="2100"/>
            <w:shd w:fill="0B4A70"/>
            <w:tcMar>
              <w:top w:w="100" w:type="dxa"/>
              <w:start w:w="100" w:type="dxa"/>
              <w:bottom w:w="100" w:type="dxa"/>
              <w:end w:w="100" w:type="dxa"/>
            </w:tcMar>
          </w:tcPr>
          <w:p>
            <w:pPr>
              <w:jc w:val="center"/>
            </w:pPr>
            <w:r>
              <w:rPr>
                <w:b/>
                <w:color w:val="FFFFFF"/>
                <w:sz w:val="18"/>
              </w:rPr>
              <w:t>Zona</w:t>
            </w:r>
          </w:p>
        </w:tc>
        <w:tc>
          <w:tcPr>
            <w:tcW w:type="dxa" w:w="6200"/>
            <w:shd w:fill="0B4A70"/>
            <w:tcMar>
              <w:top w:w="100" w:type="dxa"/>
              <w:start w:w="100" w:type="dxa"/>
              <w:bottom w:w="100" w:type="dxa"/>
              <w:end w:w="100" w:type="dxa"/>
            </w:tcMar>
          </w:tcPr>
          <w:p>
            <w:pPr>
              <w:jc w:val="center"/>
            </w:pPr>
            <w:r>
              <w:rPr>
                <w:b/>
                <w:color w:val="FFFFFF"/>
                <w:sz w:val="18"/>
              </w:rPr>
              <w:t>Función principal</w:t>
            </w:r>
          </w:p>
        </w:tc>
      </w:tr>
      <w:tr>
        <w:tc>
          <w:tcPr>
            <w:tcW w:type="dxa" w:w="700"/>
            <w:tcMar>
              <w:top w:w="85" w:type="dxa"/>
              <w:start w:w="95" w:type="dxa"/>
              <w:bottom w:w="85" w:type="dxa"/>
              <w:end w:w="95" w:type="dxa"/>
            </w:tcMar>
          </w:tcPr>
          <w:p>
            <w:r>
              <w:rPr>
                <w:sz w:val="18"/>
              </w:rPr>
              <w:t>1</w:t>
            </w:r>
          </w:p>
        </w:tc>
        <w:tc>
          <w:tcPr>
            <w:tcW w:type="dxa" w:w="2100"/>
            <w:tcMar>
              <w:top w:w="85" w:type="dxa"/>
              <w:start w:w="95" w:type="dxa"/>
              <w:bottom w:w="85" w:type="dxa"/>
              <w:end w:w="95" w:type="dxa"/>
            </w:tcMar>
          </w:tcPr>
          <w:p>
            <w:r>
              <w:rPr>
                <w:sz w:val="18"/>
              </w:rPr>
              <w:t>Cabecera y estado</w:t>
            </w:r>
          </w:p>
        </w:tc>
        <w:tc>
          <w:tcPr>
            <w:tcW w:type="dxa" w:w="6200"/>
            <w:tcMar>
              <w:top w:w="85" w:type="dxa"/>
              <w:start w:w="95" w:type="dxa"/>
              <w:bottom w:w="85" w:type="dxa"/>
              <w:end w:w="95" w:type="dxa"/>
            </w:tcMar>
          </w:tcPr>
          <w:p>
            <w:r>
              <w:rPr>
                <w:sz w:val="18"/>
              </w:rPr>
              <w:t>Fecha, hora, serie, puesto, número, usuario y estado de TPV, impresora y BBDD.</w:t>
            </w:r>
          </w:p>
        </w:tc>
      </w:tr>
      <w:tr>
        <w:tc>
          <w:tcPr>
            <w:tcW w:type="dxa" w:w="700"/>
            <w:tcMar>
              <w:top w:w="85" w:type="dxa"/>
              <w:start w:w="95" w:type="dxa"/>
              <w:bottom w:w="85" w:type="dxa"/>
              <w:end w:w="95" w:type="dxa"/>
            </w:tcMar>
            <w:shd w:fill="F1F6FA"/>
          </w:tcPr>
          <w:p>
            <w:r>
              <w:rPr>
                <w:sz w:val="18"/>
              </w:rPr>
              <w:t>2</w:t>
            </w:r>
          </w:p>
        </w:tc>
        <w:tc>
          <w:tcPr>
            <w:tcW w:type="dxa" w:w="2100"/>
            <w:tcMar>
              <w:top w:w="85" w:type="dxa"/>
              <w:start w:w="95" w:type="dxa"/>
              <w:bottom w:w="85" w:type="dxa"/>
              <w:end w:w="95" w:type="dxa"/>
            </w:tcMar>
            <w:shd w:fill="F1F6FA"/>
          </w:tcPr>
          <w:p>
            <w:r>
              <w:rPr>
                <w:sz w:val="18"/>
              </w:rPr>
              <w:t>Tickets abiertos y stock</w:t>
            </w:r>
          </w:p>
        </w:tc>
        <w:tc>
          <w:tcPr>
            <w:tcW w:type="dxa" w:w="6200"/>
            <w:tcMar>
              <w:top w:w="85" w:type="dxa"/>
              <w:start w:w="95" w:type="dxa"/>
              <w:bottom w:w="85" w:type="dxa"/>
              <w:end w:w="95" w:type="dxa"/>
            </w:tcMar>
            <w:shd w:fill="F1F6FA"/>
          </w:tcPr>
          <w:p>
            <w:r>
              <w:rPr>
                <w:sz w:val="18"/>
              </w:rPr>
              <w:t>Consulta, aparcado y recuperación de operaciones; referencia rápida de existencias.</w:t>
            </w:r>
          </w:p>
        </w:tc>
      </w:tr>
      <w:tr>
        <w:tc>
          <w:tcPr>
            <w:tcW w:type="dxa" w:w="700"/>
            <w:tcMar>
              <w:top w:w="85" w:type="dxa"/>
              <w:start w:w="95" w:type="dxa"/>
              <w:bottom w:w="85" w:type="dxa"/>
              <w:end w:w="95" w:type="dxa"/>
            </w:tcMar>
          </w:tcPr>
          <w:p>
            <w:r>
              <w:rPr>
                <w:sz w:val="18"/>
              </w:rPr>
              <w:t>3</w:t>
            </w:r>
          </w:p>
        </w:tc>
        <w:tc>
          <w:tcPr>
            <w:tcW w:type="dxa" w:w="2100"/>
            <w:tcMar>
              <w:top w:w="85" w:type="dxa"/>
              <w:start w:w="95" w:type="dxa"/>
              <w:bottom w:w="85" w:type="dxa"/>
              <w:end w:w="95" w:type="dxa"/>
            </w:tcMar>
          </w:tcPr>
          <w:p>
            <w:r>
              <w:rPr>
                <w:sz w:val="18"/>
              </w:rPr>
              <w:t>Cliente</w:t>
            </w:r>
          </w:p>
        </w:tc>
        <w:tc>
          <w:tcPr>
            <w:tcW w:type="dxa" w:w="6200"/>
            <w:tcMar>
              <w:top w:w="85" w:type="dxa"/>
              <w:start w:w="95" w:type="dxa"/>
              <w:bottom w:w="85" w:type="dxa"/>
              <w:end w:w="95" w:type="dxa"/>
            </w:tcMar>
          </w:tcPr>
          <w:p>
            <w:r>
              <w:rPr>
                <w:sz w:val="18"/>
              </w:rPr>
              <w:t>Código, nombre, datos fiscales y condiciones comerciales.</w:t>
            </w:r>
          </w:p>
        </w:tc>
      </w:tr>
      <w:tr>
        <w:tc>
          <w:tcPr>
            <w:tcW w:type="dxa" w:w="700"/>
            <w:tcMar>
              <w:top w:w="85" w:type="dxa"/>
              <w:start w:w="95" w:type="dxa"/>
              <w:bottom w:w="85" w:type="dxa"/>
              <w:end w:w="95" w:type="dxa"/>
            </w:tcMar>
            <w:shd w:fill="F1F6FA"/>
          </w:tcPr>
          <w:p>
            <w:r>
              <w:rPr>
                <w:sz w:val="18"/>
              </w:rPr>
              <w:t>4</w:t>
            </w:r>
          </w:p>
        </w:tc>
        <w:tc>
          <w:tcPr>
            <w:tcW w:type="dxa" w:w="2100"/>
            <w:tcMar>
              <w:top w:w="85" w:type="dxa"/>
              <w:start w:w="95" w:type="dxa"/>
              <w:bottom w:w="85" w:type="dxa"/>
              <w:end w:w="95" w:type="dxa"/>
            </w:tcMar>
            <w:shd w:fill="F1F6FA"/>
          </w:tcPr>
          <w:p>
            <w:r>
              <w:rPr>
                <w:sz w:val="18"/>
              </w:rPr>
              <w:t>Entrada de artículos</w:t>
            </w:r>
          </w:p>
        </w:tc>
        <w:tc>
          <w:tcPr>
            <w:tcW w:type="dxa" w:w="6200"/>
            <w:tcMar>
              <w:top w:w="85" w:type="dxa"/>
              <w:start w:w="95" w:type="dxa"/>
              <w:bottom w:w="85" w:type="dxa"/>
              <w:end w:w="95" w:type="dxa"/>
            </w:tcMar>
            <w:shd w:fill="F1F6FA"/>
          </w:tcPr>
          <w:p>
            <w:r>
              <w:rPr>
                <w:sz w:val="18"/>
              </w:rPr>
              <w:t>Código/EAN, descripción, unidades, precios, descuento, IVA e importe.</w:t>
            </w:r>
          </w:p>
        </w:tc>
      </w:tr>
      <w:tr>
        <w:tc>
          <w:tcPr>
            <w:tcW w:type="dxa" w:w="700"/>
            <w:tcMar>
              <w:top w:w="85" w:type="dxa"/>
              <w:start w:w="95" w:type="dxa"/>
              <w:bottom w:w="85" w:type="dxa"/>
              <w:end w:w="95" w:type="dxa"/>
            </w:tcMar>
          </w:tcPr>
          <w:p>
            <w:r>
              <w:rPr>
                <w:sz w:val="18"/>
              </w:rPr>
              <w:t>5</w:t>
            </w:r>
          </w:p>
        </w:tc>
        <w:tc>
          <w:tcPr>
            <w:tcW w:type="dxa" w:w="2100"/>
            <w:tcMar>
              <w:top w:w="85" w:type="dxa"/>
              <w:start w:w="95" w:type="dxa"/>
              <w:bottom w:w="85" w:type="dxa"/>
              <w:end w:w="95" w:type="dxa"/>
            </w:tcMar>
          </w:tcPr>
          <w:p>
            <w:r>
              <w:rPr>
                <w:sz w:val="18"/>
              </w:rPr>
              <w:t>Líneas de la venta</w:t>
            </w:r>
          </w:p>
        </w:tc>
        <w:tc>
          <w:tcPr>
            <w:tcW w:type="dxa" w:w="6200"/>
            <w:tcMar>
              <w:top w:w="85" w:type="dxa"/>
              <w:start w:w="95" w:type="dxa"/>
              <w:bottom w:w="85" w:type="dxa"/>
              <w:end w:w="95" w:type="dxa"/>
            </w:tcMar>
          </w:tcPr>
          <w:p>
            <w:r>
              <w:rPr>
                <w:sz w:val="18"/>
              </w:rPr>
              <w:t>Detalle de artículos ya incorporados y selección de la línea activa.</w:t>
            </w:r>
          </w:p>
        </w:tc>
      </w:tr>
      <w:tr>
        <w:tc>
          <w:tcPr>
            <w:tcW w:type="dxa" w:w="700"/>
            <w:tcMar>
              <w:top w:w="85" w:type="dxa"/>
              <w:start w:w="95" w:type="dxa"/>
              <w:bottom w:w="85" w:type="dxa"/>
              <w:end w:w="95" w:type="dxa"/>
            </w:tcMar>
            <w:shd w:fill="F1F6FA"/>
          </w:tcPr>
          <w:p>
            <w:r>
              <w:rPr>
                <w:sz w:val="18"/>
              </w:rPr>
              <w:t>6</w:t>
            </w:r>
          </w:p>
        </w:tc>
        <w:tc>
          <w:tcPr>
            <w:tcW w:type="dxa" w:w="2100"/>
            <w:tcMar>
              <w:top w:w="85" w:type="dxa"/>
              <w:start w:w="95" w:type="dxa"/>
              <w:bottom w:w="85" w:type="dxa"/>
              <w:end w:w="95" w:type="dxa"/>
            </w:tcMar>
            <w:shd w:fill="F1F6FA"/>
          </w:tcPr>
          <w:p>
            <w:r>
              <w:rPr>
                <w:sz w:val="18"/>
              </w:rPr>
              <w:t>Total y acciones</w:t>
            </w:r>
          </w:p>
        </w:tc>
        <w:tc>
          <w:tcPr>
            <w:tcW w:type="dxa" w:w="6200"/>
            <w:tcMar>
              <w:top w:w="85" w:type="dxa"/>
              <w:start w:w="95" w:type="dxa"/>
              <w:bottom w:w="85" w:type="dxa"/>
              <w:end w:w="95" w:type="dxa"/>
            </w:tcMar>
            <w:shd w:fill="F1F6FA"/>
          </w:tcPr>
          <w:p>
            <w:r>
              <w:rPr>
                <w:sz w:val="18"/>
              </w:rPr>
              <w:t>Total de la operación, QR VeriFactu y accesos a cobro, créditos, impresión o pedido.</w:t>
            </w:r>
          </w:p>
        </w:tc>
      </w:tr>
      <w:tr>
        <w:tc>
          <w:tcPr>
            <w:tcW w:type="dxa" w:w="700"/>
            <w:tcMar>
              <w:top w:w="85" w:type="dxa"/>
              <w:start w:w="95" w:type="dxa"/>
              <w:bottom w:w="85" w:type="dxa"/>
              <w:end w:w="95" w:type="dxa"/>
            </w:tcMar>
          </w:tcPr>
          <w:p>
            <w:r>
              <w:rPr>
                <w:sz w:val="18"/>
              </w:rPr>
              <w:t>7</w:t>
            </w:r>
          </w:p>
        </w:tc>
        <w:tc>
          <w:tcPr>
            <w:tcW w:type="dxa" w:w="2100"/>
            <w:tcMar>
              <w:top w:w="85" w:type="dxa"/>
              <w:start w:w="95" w:type="dxa"/>
              <w:bottom w:w="85" w:type="dxa"/>
              <w:end w:w="95" w:type="dxa"/>
            </w:tcMar>
          </w:tcPr>
          <w:p>
            <w:r>
              <w:rPr>
                <w:sz w:val="18"/>
              </w:rPr>
              <w:t>Venta en curso</w:t>
            </w:r>
          </w:p>
        </w:tc>
        <w:tc>
          <w:tcPr>
            <w:tcW w:type="dxa" w:w="6200"/>
            <w:tcMar>
              <w:top w:w="85" w:type="dxa"/>
              <w:start w:w="95" w:type="dxa"/>
              <w:bottom w:w="85" w:type="dxa"/>
              <w:end w:w="95" w:type="dxa"/>
            </w:tcMar>
          </w:tcPr>
          <w:p>
            <w:r>
              <w:rPr>
                <w:sz w:val="18"/>
              </w:rPr>
              <w:t>Número de líneas, cliente, acceso de totalización y total acumulado.</w:t>
            </w:r>
          </w:p>
        </w:tc>
      </w:tr>
      <w:tr>
        <w:tc>
          <w:tcPr>
            <w:tcW w:type="dxa" w:w="700"/>
            <w:tcMar>
              <w:top w:w="85" w:type="dxa"/>
              <w:start w:w="95" w:type="dxa"/>
              <w:bottom w:w="85" w:type="dxa"/>
              <w:end w:w="95" w:type="dxa"/>
            </w:tcMar>
            <w:shd w:fill="F1F6FA"/>
          </w:tcPr>
          <w:p>
            <w:r>
              <w:rPr>
                <w:sz w:val="18"/>
              </w:rPr>
              <w:t>8</w:t>
            </w:r>
          </w:p>
        </w:tc>
        <w:tc>
          <w:tcPr>
            <w:tcW w:type="dxa" w:w="2100"/>
            <w:tcMar>
              <w:top w:w="85" w:type="dxa"/>
              <w:start w:w="95" w:type="dxa"/>
              <w:bottom w:w="85" w:type="dxa"/>
              <w:end w:w="95" w:type="dxa"/>
            </w:tcMar>
            <w:shd w:fill="F1F6FA"/>
          </w:tcPr>
          <w:p>
            <w:r>
              <w:rPr>
                <w:sz w:val="18"/>
              </w:rPr>
              <w:t>Atajos</w:t>
            </w:r>
          </w:p>
        </w:tc>
        <w:tc>
          <w:tcPr>
            <w:tcW w:type="dxa" w:w="6200"/>
            <w:tcMar>
              <w:top w:w="85" w:type="dxa"/>
              <w:start w:w="95" w:type="dxa"/>
              <w:bottom w:w="85" w:type="dxa"/>
              <w:end w:w="95" w:type="dxa"/>
            </w:tcMar>
            <w:shd w:fill="F1F6FA"/>
          </w:tcPr>
          <w:p>
            <w:r>
              <w:rPr>
                <w:sz w:val="18"/>
              </w:rPr>
              <w:t>Acciones rápidas mediante Ctrl, F5-F12 y ESC.</w:t>
            </w:r>
          </w:p>
        </w:tc>
      </w:tr>
    </w:tbl>
    <w:p>
      <w:pPr/>
    </w:p>
    <w:p>
      <w:pPr>
        <w:pStyle w:val="Heading2"/>
      </w:pPr>
      <w:r>
        <w:t>5.2 Preparación antes de vender</w:t>
      </w:r>
    </w:p>
    <w:p>
      <w:pPr>
        <w:pStyle w:val="BodyText"/>
      </w:pPr>
      <w:r>
        <w:t>Antes de comenzar una operación conviene comprobar los indicadores de la cabecera. Esta revisión tarda pocos segundos y evita que una venta quede registrada en un puesto, usuario o serie incorrectos.</w:t>
      </w:r>
    </w:p>
    <w:tbl>
      <w:tblPr>
        <w:tblW w:type="auto" w:w="0"/>
        <w:jc w:val="center"/>
        <w:tblLayout w:type="fixed"/>
        <w:tblLook w:firstColumn="1" w:firstRow="1" w:lastColumn="0" w:lastRow="0" w:noHBand="0" w:noVBand="1" w:val="04A0"/>
      </w:tblPr>
      <w:tblGrid>
        <w:gridCol w:w="4929"/>
        <w:gridCol w:w="4929"/>
      </w:tblGrid>
      <w:t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La fecha y la hora del equipo son correctas.</w:t>
            </w:r>
          </w:p>
        </w:tc>
      </w:tr>
      <w:t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La serie corresponde al tipo de documento que se va a emitir.</w:t>
            </w:r>
          </w:p>
        </w:tc>
      </w:tr>
      <w:t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El Puesto mostrado es el terminal desde el que se está trabajando.</w:t>
            </w:r>
          </w:p>
        </w:tc>
      </w:tr>
      <w:t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El usuario o cajero activo es el adecuado.</w:t>
            </w:r>
          </w:p>
        </w:tc>
      </w:tr>
      <w:t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Los indicadores TPV activo, Impresora OK y BBDD conectada muestran un estado correcto.</w:t>
            </w:r>
          </w:p>
        </w:tc>
      </w:tr>
      <w:t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El cliente predeterminado es válido para la operación o será sustituido antes de totalizar.</w:t>
            </w:r>
          </w:p>
        </w:tc>
      </w:tr>
    </w:tbl>
    <w:p>
      <w:pPr/>
    </w:p>
    <w:tbl>
      <w:tblPr>
        <w:tblW w:type="auto" w:w="0"/>
        <w:jc w:val="center"/>
        <w:tblLayout w:type="fixed"/>
        <w:tblLook w:firstColumn="1" w:firstRow="1" w:lastColumn="0" w:lastRow="0" w:noHBand="0" w:noVBand="1" w:val="04A0"/>
      </w:tblPr>
      <w:tblGrid>
        <w:gridCol w:w="4929"/>
        <w:gridCol w:w="4929"/>
      </w:tblGrid>
      <w:tr>
        <w:tc>
          <w:tcPr>
            <w:tcW w:type="dxa" w:w="520"/>
            <w:shd w:fill="B36B00"/>
            <w:tcMar>
              <w:top w:w="110" w:type="dxa"/>
              <w:start w:w="70" w:type="dxa"/>
              <w:bottom w:w="110" w:type="dxa"/>
              <w:end w:w="70" w:type="dxa"/>
            </w:tcMar>
            <w:vAlign w:val="center"/>
          </w:tcPr>
          <w:p>
            <w:pPr>
              <w:jc w:val="center"/>
            </w:pPr>
            <w:r>
              <w:rPr>
                <w:b/>
                <w:color w:val="FFFFFF"/>
                <w:sz w:val="32"/>
              </w:rPr>
              <w:t>!</w:t>
            </w:r>
          </w:p>
        </w:tc>
        <w:tc>
          <w:tcPr>
            <w:tcW w:type="dxa" w:w="8500"/>
            <w:shd w:fill="FFF4DF"/>
            <w:tcMar>
              <w:top w:w="110" w:type="dxa"/>
              <w:start w:w="150" w:type="dxa"/>
              <w:bottom w:w="110" w:type="dxa"/>
              <w:end w:w="150" w:type="dxa"/>
            </w:tcMar>
            <w:vAlign w:val="center"/>
          </w:tcPr>
          <w:p>
            <w:r>
              <w:rPr>
                <w:b/>
                <w:color w:val="B36B00"/>
              </w:rPr>
              <w:t xml:space="preserve">PRECAUCIÓN: </w:t>
            </w:r>
            <w:r>
              <w:t>Cambiar el cliente, la serie o el tipo de documento después de cerrar la operación puede obligar a anularla o emitir una rectificativa.</w:t>
            </w:r>
          </w:p>
        </w:tc>
      </w:tr>
    </w:tbl>
    <w:p>
      <w:pPr/>
    </w:p>
    <w:p>
      <w:pPr>
        <w:pStyle w:val="Heading2"/>
      </w:pPr>
      <w:r>
        <w:t>5.3 Selección e identificación del cliente</w:t>
      </w:r>
    </w:p>
    <w:p>
      <w:pPr>
        <w:jc w:val="center"/>
      </w:pPr>
      <w:r>
        <w:drawing>
          <wp:inline xmlns:a="http://schemas.openxmlformats.org/drawingml/2006/main" xmlns:pic="http://schemas.openxmlformats.org/drawingml/2006/picture">
            <wp:extent cx="6080760" cy="2089756"/>
            <wp:docPr id="2" name="Picture 2" descr="Recorte de la pantalla de Ventas que muestra la identificación del cliente y los campos de entrada de artículos." title="Figura 5.2. Zona real de cliente y entrada de artículos."/>
            <wp:cNvGraphicFramePr>
              <a:graphicFrameLocks noChangeAspect="1"/>
            </wp:cNvGraphicFramePr>
            <a:graphic>
              <a:graphicData uri="http://schemas.openxmlformats.org/drawingml/2006/picture">
                <pic:pic>
                  <pic:nvPicPr>
                    <pic:cNvPr id="0" name="02_cliente_entrada_articulos.png"/>
                    <pic:cNvPicPr/>
                  </pic:nvPicPr>
                  <pic:blipFill>
                    <a:blip r:embed="rId14"/>
                    <a:stretch>
                      <a:fillRect/>
                    </a:stretch>
                  </pic:blipFill>
                  <pic:spPr>
                    <a:xfrm>
                      <a:off x="0" y="0"/>
                      <a:ext cx="6080760" cy="2089756"/>
                    </a:xfrm>
                    <a:prstGeom prst="rect"/>
                  </pic:spPr>
                </pic:pic>
              </a:graphicData>
            </a:graphic>
          </wp:inline>
        </w:drawing>
      </w:r>
    </w:p>
    <w:p>
      <w:pPr>
        <w:pStyle w:val="BodyText"/>
        <w:spacing w:after="160"/>
        <w:jc w:val="center"/>
      </w:pPr>
      <w:r>
        <w:rPr>
          <w:i/>
          <w:color w:val="505A64"/>
          <w:sz w:val="17"/>
        </w:rPr>
        <w:t>Figura 5.2. Zona real de cliente y entrada de artículos.</w:t>
      </w:r>
    </w:p>
    <w:p>
      <w:pPr>
        <w:pStyle w:val="BodyText"/>
      </w:pPr>
      <w:r>
        <w:t>En ventas anónimas o de mostrador puede mantenerse el cliente de contado configurado. Debe seleccionarse la ficha correcta cuando se vaya a emitir una factura completa, un albarán, una operación a crédito, una rectificativa o cuando existan descuentos, tarifas o condiciones especiales asociadas al cliente.</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200"/>
            <w:shd w:fill="0B4A70"/>
            <w:tcMar>
              <w:top w:w="100" w:type="dxa"/>
              <w:start w:w="100" w:type="dxa"/>
              <w:bottom w:w="100" w:type="dxa"/>
              <w:end w:w="100" w:type="dxa"/>
            </w:tcMar>
          </w:tcPr>
          <w:p>
            <w:pPr>
              <w:jc w:val="center"/>
            </w:pPr>
            <w:r>
              <w:rPr>
                <w:b/>
                <w:color w:val="FFFFFF"/>
                <w:sz w:val="18"/>
              </w:rPr>
              <w:t>Acción</w:t>
            </w:r>
          </w:p>
        </w:tc>
        <w:tc>
          <w:tcPr>
            <w:tcW w:type="dxa" w:w="2100"/>
            <w:shd w:fill="0B4A70"/>
            <w:tcMar>
              <w:top w:w="100" w:type="dxa"/>
              <w:start w:w="100" w:type="dxa"/>
              <w:bottom w:w="100" w:type="dxa"/>
              <w:end w:w="100" w:type="dxa"/>
            </w:tcMar>
          </w:tcPr>
          <w:p>
            <w:pPr>
              <w:jc w:val="center"/>
            </w:pPr>
            <w:r>
              <w:rPr>
                <w:b/>
                <w:color w:val="FFFFFF"/>
                <w:sz w:val="18"/>
              </w:rPr>
              <w:t>Método recomendado</w:t>
            </w:r>
          </w:p>
        </w:tc>
        <w:tc>
          <w:tcPr>
            <w:tcW w:type="dxa" w:w="4700"/>
            <w:shd w:fill="0B4A70"/>
            <w:tcMar>
              <w:top w:w="100" w:type="dxa"/>
              <w:start w:w="100" w:type="dxa"/>
              <w:bottom w:w="100" w:type="dxa"/>
              <w:end w:w="100" w:type="dxa"/>
            </w:tcMar>
          </w:tcPr>
          <w:p>
            <w:pPr>
              <w:jc w:val="center"/>
            </w:pPr>
            <w:r>
              <w:rPr>
                <w:b/>
                <w:color w:val="FFFFFF"/>
                <w:sz w:val="18"/>
              </w:rPr>
              <w:t>Resultado</w:t>
            </w:r>
          </w:p>
        </w:tc>
      </w:tr>
      <w:tr>
        <w:tc>
          <w:tcPr>
            <w:tcW w:type="dxa" w:w="2200"/>
            <w:tcMar>
              <w:top w:w="85" w:type="dxa"/>
              <w:start w:w="95" w:type="dxa"/>
              <w:bottom w:w="85" w:type="dxa"/>
              <w:end w:w="95" w:type="dxa"/>
            </w:tcMar>
          </w:tcPr>
          <w:p>
            <w:r>
              <w:rPr>
                <w:sz w:val="18"/>
              </w:rPr>
              <w:t>Ir al código de cliente</w:t>
            </w:r>
          </w:p>
        </w:tc>
        <w:tc>
          <w:tcPr>
            <w:tcW w:type="dxa" w:w="2100"/>
            <w:tcMar>
              <w:top w:w="85" w:type="dxa"/>
              <w:start w:w="95" w:type="dxa"/>
              <w:bottom w:w="85" w:type="dxa"/>
              <w:end w:w="95" w:type="dxa"/>
            </w:tcMar>
          </w:tcPr>
          <w:p>
            <w:r>
              <w:rPr>
                <w:sz w:val="18"/>
              </w:rPr>
              <w:t>Ctrl+O</w:t>
            </w:r>
          </w:p>
        </w:tc>
        <w:tc>
          <w:tcPr>
            <w:tcW w:type="dxa" w:w="4700"/>
            <w:tcMar>
              <w:top w:w="85" w:type="dxa"/>
              <w:start w:w="95" w:type="dxa"/>
              <w:bottom w:w="85" w:type="dxa"/>
              <w:end w:w="95" w:type="dxa"/>
            </w:tcMar>
          </w:tcPr>
          <w:p>
            <w:r>
              <w:rPr>
                <w:sz w:val="18"/>
              </w:rPr>
              <w:t>Sitúa el foco en el campo Código cliente.</w:t>
            </w:r>
          </w:p>
        </w:tc>
      </w:tr>
      <w:tr>
        <w:tc>
          <w:tcPr>
            <w:tcW w:type="dxa" w:w="2200"/>
            <w:tcMar>
              <w:top w:w="85" w:type="dxa"/>
              <w:start w:w="95" w:type="dxa"/>
              <w:bottom w:w="85" w:type="dxa"/>
              <w:end w:w="95" w:type="dxa"/>
            </w:tcMar>
            <w:shd w:fill="F1F6FA"/>
          </w:tcPr>
          <w:p>
            <w:r>
              <w:rPr>
                <w:sz w:val="18"/>
              </w:rPr>
              <w:t>Ir al nombre o búsqueda</w:t>
            </w:r>
          </w:p>
        </w:tc>
        <w:tc>
          <w:tcPr>
            <w:tcW w:type="dxa" w:w="2100"/>
            <w:tcMar>
              <w:top w:w="85" w:type="dxa"/>
              <w:start w:w="95" w:type="dxa"/>
              <w:bottom w:w="85" w:type="dxa"/>
              <w:end w:w="95" w:type="dxa"/>
            </w:tcMar>
            <w:shd w:fill="F1F6FA"/>
          </w:tcPr>
          <w:p>
            <w:r>
              <w:rPr>
                <w:sz w:val="18"/>
              </w:rPr>
              <w:t>Ctrl+U</w:t>
            </w:r>
          </w:p>
        </w:tc>
        <w:tc>
          <w:tcPr>
            <w:tcW w:type="dxa" w:w="4700"/>
            <w:tcMar>
              <w:top w:w="85" w:type="dxa"/>
              <w:start w:w="95" w:type="dxa"/>
              <w:bottom w:w="85" w:type="dxa"/>
              <w:end w:w="95" w:type="dxa"/>
            </w:tcMar>
            <w:shd w:fill="F1F6FA"/>
          </w:tcPr>
          <w:p>
            <w:r>
              <w:rPr>
                <w:sz w:val="18"/>
              </w:rPr>
              <w:t>Permite localizar el cliente por nombre o criterio disponible.</w:t>
            </w:r>
          </w:p>
        </w:tc>
      </w:tr>
      <w:tr>
        <w:tc>
          <w:tcPr>
            <w:tcW w:type="dxa" w:w="2200"/>
            <w:tcMar>
              <w:top w:w="85" w:type="dxa"/>
              <w:start w:w="95" w:type="dxa"/>
              <w:bottom w:w="85" w:type="dxa"/>
              <w:end w:w="95" w:type="dxa"/>
            </w:tcMar>
          </w:tcPr>
          <w:p>
            <w:r>
              <w:rPr>
                <w:sz w:val="18"/>
              </w:rPr>
              <w:t>Aceptar la línea / acción Nuevo</w:t>
            </w:r>
          </w:p>
        </w:tc>
        <w:tc>
          <w:tcPr>
            <w:tcW w:type="dxa" w:w="2100"/>
            <w:tcMar>
              <w:top w:w="85" w:type="dxa"/>
              <w:start w:w="95" w:type="dxa"/>
              <w:bottom w:w="85" w:type="dxa"/>
              <w:end w:w="95" w:type="dxa"/>
            </w:tcMar>
          </w:tcPr>
          <w:p>
            <w:r>
              <w:rPr>
                <w:sz w:val="18"/>
              </w:rPr>
              <w:t>Ctrl+N</w:t>
            </w:r>
          </w:p>
        </w:tc>
        <w:tc>
          <w:tcPr>
            <w:tcW w:type="dxa" w:w="4700"/>
            <w:tcMar>
              <w:top w:w="85" w:type="dxa"/>
              <w:start w:w="95" w:type="dxa"/>
              <w:bottom w:w="85" w:type="dxa"/>
              <w:end w:w="95" w:type="dxa"/>
            </w:tcMar>
          </w:tcPr>
          <w:p>
            <w:r>
              <w:rPr>
                <w:sz w:val="18"/>
              </w:rPr>
              <w:t>Ejecuta la función validada asociada a la línea principal.</w:t>
            </w:r>
          </w:p>
        </w:tc>
      </w:tr>
      <w:tr>
        <w:tc>
          <w:tcPr>
            <w:tcW w:type="dxa" w:w="2200"/>
            <w:tcMar>
              <w:top w:w="85" w:type="dxa"/>
              <w:start w:w="95" w:type="dxa"/>
              <w:bottom w:w="85" w:type="dxa"/>
              <w:end w:w="95" w:type="dxa"/>
            </w:tcMar>
            <w:shd w:fill="F1F6FA"/>
          </w:tcPr>
          <w:p>
            <w:r>
              <w:rPr>
                <w:sz w:val="18"/>
              </w:rPr>
              <w:t>Buscar por NIF</w:t>
            </w:r>
          </w:p>
        </w:tc>
        <w:tc>
          <w:tcPr>
            <w:tcW w:type="dxa" w:w="2100"/>
            <w:tcMar>
              <w:top w:w="85" w:type="dxa"/>
              <w:start w:w="95" w:type="dxa"/>
              <w:bottom w:w="85" w:type="dxa"/>
              <w:end w:w="95" w:type="dxa"/>
            </w:tcMar>
            <w:shd w:fill="F1F6FA"/>
          </w:tcPr>
          <w:p>
            <w:r>
              <w:rPr>
                <w:sz w:val="18"/>
              </w:rPr>
              <w:t>Búsqueda de clientes</w:t>
            </w:r>
          </w:p>
        </w:tc>
        <w:tc>
          <w:tcPr>
            <w:tcW w:type="dxa" w:w="4700"/>
            <w:tcMar>
              <w:top w:w="85" w:type="dxa"/>
              <w:start w:w="95" w:type="dxa"/>
              <w:bottom w:w="85" w:type="dxa"/>
              <w:end w:w="95" w:type="dxa"/>
            </w:tcMar>
            <w:shd w:fill="F1F6FA"/>
          </w:tcPr>
          <w:p>
            <w:r>
              <w:rPr>
                <w:sz w:val="18"/>
              </w:rPr>
              <w:t>Si hay varias coincidencias debe mostrarse un selector, no tomar automáticamente la primera.</w:t>
            </w:r>
          </w:p>
        </w:tc>
      </w:tr>
    </w:tbl>
    <w:p>
      <w:pPr/>
    </w:p>
    <w:tbl>
      <w:tblPr>
        <w:tblW w:type="auto" w:w="0"/>
        <w:jc w:val="center"/>
        <w:tblLayout w:type="fixed"/>
        <w:tblLook w:firstColumn="1" w:firstRow="1" w:lastColumn="0" w:lastRow="0" w:noHBand="0" w:noVBand="1" w:val="04A0"/>
      </w:tblPr>
      <w:tblGrid>
        <w:gridCol w:w="4929"/>
        <w:gridCol w:w="4929"/>
      </w:tblGrid>
      <w:tr>
        <w:tc>
          <w:tcPr>
            <w:tcW w:type="dxa" w:w="520"/>
            <w:shd w:fill="0B5C78"/>
            <w:tcMar>
              <w:top w:w="110" w:type="dxa"/>
              <w:start w:w="70" w:type="dxa"/>
              <w:bottom w:w="110" w:type="dxa"/>
              <w:end w:w="70" w:type="dxa"/>
            </w:tcMar>
            <w:vAlign w:val="center"/>
          </w:tcPr>
          <w:p>
            <w:pPr>
              <w:jc w:val="center"/>
            </w:pPr>
            <w:r>
              <w:rPr>
                <w:b/>
                <w:color w:val="FFFFFF"/>
                <w:sz w:val="32"/>
              </w:rPr>
              <w:t>i</w:t>
            </w:r>
          </w:p>
        </w:tc>
        <w:tc>
          <w:tcPr>
            <w:tcW w:type="dxa" w:w="8500"/>
            <w:shd w:fill="E9F4F8"/>
            <w:tcMar>
              <w:top w:w="110" w:type="dxa"/>
              <w:start w:w="150" w:type="dxa"/>
              <w:bottom w:w="110" w:type="dxa"/>
              <w:end w:w="150" w:type="dxa"/>
            </w:tcMar>
            <w:vAlign w:val="center"/>
          </w:tcPr>
          <w:p>
            <w:r>
              <w:rPr>
                <w:b/>
                <w:color w:val="0B5C78"/>
              </w:rPr>
              <w:t xml:space="preserve">COMPROBACIÓN: </w:t>
            </w:r>
            <w:r>
              <w:t>Antes de emitir una factura completa revise nombre o razón social, NIF, dirección y serie. Para créditos y albaranes, confirme también que la cuenta seleccionada es la correcta.</w:t>
            </w:r>
          </w:p>
        </w:tc>
      </w:tr>
    </w:tbl>
    <w:p>
      <w:pPr/>
    </w:p>
    <w:p>
      <w:pPr>
        <w:pStyle w:val="Heading2"/>
      </w:pPr>
      <w:r>
        <w:t>5.4 Introducción de artículos y control de líneas</w:t>
      </w:r>
    </w:p>
    <w:p>
      <w:pPr>
        <w:pStyle w:val="BodyText"/>
        <w:ind w:left="317" w:hanging="317"/>
      </w:pPr>
      <w:r>
        <w:rPr>
          <w:b/>
        </w:rPr>
        <w:t xml:space="preserve">1. </w:t>
      </w:r>
      <w:r>
        <w:t>Sitúe el foco en CÓDIGO ART. o lea el EAN con el escáner.</w:t>
      </w:r>
    </w:p>
    <w:p>
      <w:pPr>
        <w:pStyle w:val="BodyText"/>
        <w:ind w:left="317" w:hanging="317"/>
      </w:pPr>
      <w:r>
        <w:rPr>
          <w:b/>
        </w:rPr>
        <w:t xml:space="preserve">2. </w:t>
      </w:r>
      <w:r>
        <w:t>Compruebe que la descripción corresponde al producto esperado.</w:t>
      </w:r>
    </w:p>
    <w:p>
      <w:pPr>
        <w:pStyle w:val="BodyText"/>
        <w:ind w:left="317" w:hanging="317"/>
      </w:pPr>
      <w:r>
        <w:rPr>
          <w:b/>
        </w:rPr>
        <w:t xml:space="preserve">3. </w:t>
      </w:r>
      <w:r>
        <w:t>Revise unidades, PVP con IVA, precio sin IVA, porcentaje de descuento, importe, IVA y total de línea.</w:t>
      </w:r>
    </w:p>
    <w:p>
      <w:pPr>
        <w:pStyle w:val="BodyText"/>
        <w:ind w:left="317" w:hanging="317"/>
      </w:pPr>
      <w:r>
        <w:rPr>
          <w:b/>
        </w:rPr>
        <w:t xml:space="preserve">4. </w:t>
      </w:r>
      <w:r>
        <w:t>Pulse Nuevo o utilice el atajo configurado para incorporar la línea.</w:t>
      </w:r>
    </w:p>
    <w:p>
      <w:pPr>
        <w:pStyle w:val="BodyText"/>
        <w:ind w:left="317" w:hanging="317"/>
      </w:pPr>
      <w:r>
        <w:rPr>
          <w:b/>
        </w:rPr>
        <w:t xml:space="preserve">5. </w:t>
      </w:r>
      <w:r>
        <w:t>Repita el proceso hasta completar la operación.</w:t>
      </w:r>
    </w:p>
    <w:p>
      <w:pPr>
        <w:pStyle w:val="BodyText"/>
      </w:pPr>
      <w:r>
        <w:t>Los botones Modificar y Borrar actúan sobre la línea seleccionada. Antes de utilizarlos, confirme visualmente cuál es la fila activa. El color de selección no modifica los datos por sí mismo; únicamente indica la línea sobre la que actuará la siguiente orden.</w:t>
      </w:r>
    </w:p>
    <w:p>
      <w:pPr>
        <w:jc w:val="center"/>
      </w:pPr>
      <w:r>
        <w:drawing>
          <wp:inline xmlns:a="http://schemas.openxmlformats.org/drawingml/2006/main" xmlns:pic="http://schemas.openxmlformats.org/drawingml/2006/picture">
            <wp:extent cx="6080760" cy="2876108"/>
            <wp:docPr id="3" name="Picture 3" descr="Recorte de la pantalla de Ventas con la rejilla de artículos y el resumen inferior de la venta." title="Figura 5.3. Rejilla de líneas y resumen de la venta en curso."/>
            <wp:cNvGraphicFramePr>
              <a:graphicFrameLocks noChangeAspect="1"/>
            </wp:cNvGraphicFramePr>
            <a:graphic>
              <a:graphicData uri="http://schemas.openxmlformats.org/drawingml/2006/picture">
                <pic:pic>
                  <pic:nvPicPr>
                    <pic:cNvPr id="0" name="03_lineas_y_resumen.png"/>
                    <pic:cNvPicPr/>
                  </pic:nvPicPr>
                  <pic:blipFill>
                    <a:blip r:embed="rId15"/>
                    <a:stretch>
                      <a:fillRect/>
                    </a:stretch>
                  </pic:blipFill>
                  <pic:spPr>
                    <a:xfrm>
                      <a:off x="0" y="0"/>
                      <a:ext cx="6080760" cy="2876108"/>
                    </a:xfrm>
                    <a:prstGeom prst="rect"/>
                  </pic:spPr>
                </pic:pic>
              </a:graphicData>
            </a:graphic>
          </wp:inline>
        </w:drawing>
      </w:r>
    </w:p>
    <w:p>
      <w:pPr>
        <w:pStyle w:val="BodyText"/>
        <w:spacing w:after="160"/>
        <w:jc w:val="center"/>
      </w:pPr>
      <w:r>
        <w:rPr>
          <w:i/>
          <w:color w:val="505A64"/>
          <w:sz w:val="17"/>
        </w:rPr>
        <w:t>Figura 5.3. Rejilla de líneas y resumen de la venta en curso.</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1800"/>
            <w:shd w:fill="0B4A70"/>
            <w:tcMar>
              <w:top w:w="100" w:type="dxa"/>
              <w:start w:w="100" w:type="dxa"/>
              <w:bottom w:w="100" w:type="dxa"/>
              <w:end w:w="100" w:type="dxa"/>
            </w:tcMar>
          </w:tcPr>
          <w:p>
            <w:pPr>
              <w:jc w:val="center"/>
            </w:pPr>
            <w:r>
              <w:rPr>
                <w:b/>
                <w:color w:val="FFFFFF"/>
                <w:sz w:val="18"/>
              </w:rPr>
              <w:t>Columna</w:t>
            </w:r>
          </w:p>
        </w:tc>
        <w:tc>
          <w:tcPr>
            <w:tcW w:type="dxa" w:w="7200"/>
            <w:shd w:fill="0B4A70"/>
            <w:tcMar>
              <w:top w:w="100" w:type="dxa"/>
              <w:start w:w="100" w:type="dxa"/>
              <w:bottom w:w="100" w:type="dxa"/>
              <w:end w:w="100" w:type="dxa"/>
            </w:tcMar>
          </w:tcPr>
          <w:p>
            <w:pPr>
              <w:jc w:val="center"/>
            </w:pPr>
            <w:r>
              <w:rPr>
                <w:b/>
                <w:color w:val="FFFFFF"/>
                <w:sz w:val="18"/>
              </w:rPr>
              <w:t>Interpretación</w:t>
            </w:r>
          </w:p>
        </w:tc>
      </w:tr>
      <w:tr>
        <w:tc>
          <w:tcPr>
            <w:tcW w:type="dxa" w:w="1800"/>
            <w:tcMar>
              <w:top w:w="85" w:type="dxa"/>
              <w:start w:w="95" w:type="dxa"/>
              <w:bottom w:w="85" w:type="dxa"/>
              <w:end w:w="95" w:type="dxa"/>
            </w:tcMar>
          </w:tcPr>
          <w:p>
            <w:r>
              <w:rPr>
                <w:sz w:val="18"/>
              </w:rPr>
              <w:t>UNID.</w:t>
            </w:r>
          </w:p>
        </w:tc>
        <w:tc>
          <w:tcPr>
            <w:tcW w:type="dxa" w:w="7200"/>
            <w:tcMar>
              <w:top w:w="85" w:type="dxa"/>
              <w:start w:w="95" w:type="dxa"/>
              <w:bottom w:w="85" w:type="dxa"/>
              <w:end w:w="95" w:type="dxa"/>
            </w:tcMar>
          </w:tcPr>
          <w:p>
            <w:r>
              <w:rPr>
                <w:sz w:val="18"/>
              </w:rPr>
              <w:t>Cantidad vendida.</w:t>
            </w:r>
          </w:p>
        </w:tc>
      </w:tr>
      <w:tr>
        <w:tc>
          <w:tcPr>
            <w:tcW w:type="dxa" w:w="1800"/>
            <w:tcMar>
              <w:top w:w="85" w:type="dxa"/>
              <w:start w:w="95" w:type="dxa"/>
              <w:bottom w:w="85" w:type="dxa"/>
              <w:end w:w="95" w:type="dxa"/>
            </w:tcMar>
            <w:shd w:fill="F1F6FA"/>
          </w:tcPr>
          <w:p>
            <w:r>
              <w:rPr>
                <w:sz w:val="18"/>
              </w:rPr>
              <w:t>P.V.P.</w:t>
            </w:r>
          </w:p>
        </w:tc>
        <w:tc>
          <w:tcPr>
            <w:tcW w:type="dxa" w:w="7200"/>
            <w:tcMar>
              <w:top w:w="85" w:type="dxa"/>
              <w:start w:w="95" w:type="dxa"/>
              <w:bottom w:w="85" w:type="dxa"/>
              <w:end w:w="95" w:type="dxa"/>
            </w:tcMar>
            <w:shd w:fill="F1F6FA"/>
          </w:tcPr>
          <w:p>
            <w:r>
              <w:rPr>
                <w:sz w:val="18"/>
              </w:rPr>
              <w:t>Precio de venta con IVA, según la pantalla.</w:t>
            </w:r>
          </w:p>
        </w:tc>
      </w:tr>
      <w:tr>
        <w:tc>
          <w:tcPr>
            <w:tcW w:type="dxa" w:w="1800"/>
            <w:tcMar>
              <w:top w:w="85" w:type="dxa"/>
              <w:start w:w="95" w:type="dxa"/>
              <w:bottom w:w="85" w:type="dxa"/>
              <w:end w:w="95" w:type="dxa"/>
            </w:tcMar>
          </w:tcPr>
          <w:p>
            <w:r>
              <w:rPr>
                <w:sz w:val="18"/>
              </w:rPr>
              <w:t>PRECIO</w:t>
            </w:r>
          </w:p>
        </w:tc>
        <w:tc>
          <w:tcPr>
            <w:tcW w:type="dxa" w:w="7200"/>
            <w:tcMar>
              <w:top w:w="85" w:type="dxa"/>
              <w:start w:w="95" w:type="dxa"/>
              <w:bottom w:w="85" w:type="dxa"/>
              <w:end w:w="95" w:type="dxa"/>
            </w:tcMar>
          </w:tcPr>
          <w:p>
            <w:r>
              <w:rPr>
                <w:sz w:val="18"/>
              </w:rPr>
              <w:t>Precio sin IVA o valor base utilizado por el circuito.</w:t>
            </w:r>
          </w:p>
        </w:tc>
      </w:tr>
      <w:tr>
        <w:tc>
          <w:tcPr>
            <w:tcW w:type="dxa" w:w="1800"/>
            <w:tcMar>
              <w:top w:w="85" w:type="dxa"/>
              <w:start w:w="95" w:type="dxa"/>
              <w:bottom w:w="85" w:type="dxa"/>
              <w:end w:w="95" w:type="dxa"/>
            </w:tcMar>
            <w:shd w:fill="F1F6FA"/>
          </w:tcPr>
          <w:p>
            <w:r>
              <w:rPr>
                <w:sz w:val="18"/>
              </w:rPr>
              <w:t>%DTO</w:t>
            </w:r>
          </w:p>
        </w:tc>
        <w:tc>
          <w:tcPr>
            <w:tcW w:type="dxa" w:w="7200"/>
            <w:tcMar>
              <w:top w:w="85" w:type="dxa"/>
              <w:start w:w="95" w:type="dxa"/>
              <w:bottom w:w="85" w:type="dxa"/>
              <w:end w:w="95" w:type="dxa"/>
            </w:tcMar>
            <w:shd w:fill="F1F6FA"/>
          </w:tcPr>
          <w:p>
            <w:r>
              <w:rPr>
                <w:sz w:val="18"/>
              </w:rPr>
              <w:t>Descuento porcentual aplicado.</w:t>
            </w:r>
          </w:p>
        </w:tc>
      </w:tr>
      <w:tr>
        <w:tc>
          <w:tcPr>
            <w:tcW w:type="dxa" w:w="1800"/>
            <w:tcMar>
              <w:top w:w="85" w:type="dxa"/>
              <w:start w:w="95" w:type="dxa"/>
              <w:bottom w:w="85" w:type="dxa"/>
              <w:end w:w="95" w:type="dxa"/>
            </w:tcMar>
          </w:tcPr>
          <w:p>
            <w:r>
              <w:rPr>
                <w:sz w:val="18"/>
              </w:rPr>
              <w:t>IMPORTE</w:t>
            </w:r>
          </w:p>
        </w:tc>
        <w:tc>
          <w:tcPr>
            <w:tcW w:type="dxa" w:w="7200"/>
            <w:tcMar>
              <w:top w:w="85" w:type="dxa"/>
              <w:start w:w="95" w:type="dxa"/>
              <w:bottom w:w="85" w:type="dxa"/>
              <w:end w:w="95" w:type="dxa"/>
            </w:tcMar>
          </w:tcPr>
          <w:p>
            <w:r>
              <w:rPr>
                <w:sz w:val="18"/>
              </w:rPr>
              <w:t>Base o importe neto de la línea.</w:t>
            </w:r>
          </w:p>
        </w:tc>
      </w:tr>
      <w:tr>
        <w:tc>
          <w:tcPr>
            <w:tcW w:type="dxa" w:w="1800"/>
            <w:tcMar>
              <w:top w:w="85" w:type="dxa"/>
              <w:start w:w="95" w:type="dxa"/>
              <w:bottom w:w="85" w:type="dxa"/>
              <w:end w:w="95" w:type="dxa"/>
            </w:tcMar>
            <w:shd w:fill="F1F6FA"/>
          </w:tcPr>
          <w:p>
            <w:r>
              <w:rPr>
                <w:sz w:val="18"/>
              </w:rPr>
              <w:t>%IVA</w:t>
            </w:r>
          </w:p>
        </w:tc>
        <w:tc>
          <w:tcPr>
            <w:tcW w:type="dxa" w:w="7200"/>
            <w:tcMar>
              <w:top w:w="85" w:type="dxa"/>
              <w:start w:w="95" w:type="dxa"/>
              <w:bottom w:w="85" w:type="dxa"/>
              <w:end w:w="95" w:type="dxa"/>
            </w:tcMar>
            <w:shd w:fill="F1F6FA"/>
          </w:tcPr>
          <w:p>
            <w:r>
              <w:rPr>
                <w:sz w:val="18"/>
              </w:rPr>
              <w:t>Tipo de IVA aplicado.</w:t>
            </w:r>
          </w:p>
        </w:tc>
      </w:tr>
      <w:tr>
        <w:tc>
          <w:tcPr>
            <w:tcW w:type="dxa" w:w="1800"/>
            <w:tcMar>
              <w:top w:w="85" w:type="dxa"/>
              <w:start w:w="95" w:type="dxa"/>
              <w:bottom w:w="85" w:type="dxa"/>
              <w:end w:w="95" w:type="dxa"/>
            </w:tcMar>
          </w:tcPr>
          <w:p>
            <w:r>
              <w:rPr>
                <w:sz w:val="18"/>
              </w:rPr>
              <w:t>TOTAL</w:t>
            </w:r>
          </w:p>
        </w:tc>
        <w:tc>
          <w:tcPr>
            <w:tcW w:type="dxa" w:w="7200"/>
            <w:tcMar>
              <w:top w:w="85" w:type="dxa"/>
              <w:start w:w="95" w:type="dxa"/>
              <w:bottom w:w="85" w:type="dxa"/>
              <w:end w:w="95" w:type="dxa"/>
            </w:tcMar>
          </w:tcPr>
          <w:p>
            <w:r>
              <w:rPr>
                <w:sz w:val="18"/>
              </w:rPr>
              <w:t>Total final de la línea, con IVA.</w:t>
            </w:r>
          </w:p>
        </w:tc>
      </w:tr>
    </w:tbl>
    <w:p>
      <w:pPr/>
    </w:p>
    <w:tbl>
      <w:tblPr>
        <w:tblW w:type="auto" w:w="0"/>
        <w:jc w:val="center"/>
        <w:tblLayout w:type="fixed"/>
        <w:tblLook w:firstColumn="1" w:firstRow="1" w:lastColumn="0" w:lastRow="0" w:noHBand="0" w:noVBand="1" w:val="04A0"/>
      </w:tblPr>
      <w:tblGrid>
        <w:gridCol w:w="4929"/>
        <w:gridCol w:w="4929"/>
      </w:tblGrid>
      <w:tr>
        <w:tc>
          <w:tcPr>
            <w:tcW w:type="dxa" w:w="520"/>
            <w:shd w:fill="16834B"/>
            <w:tcMar>
              <w:top w:w="110" w:type="dxa"/>
              <w:start w:w="70" w:type="dxa"/>
              <w:bottom w:w="110" w:type="dxa"/>
              <w:end w:w="70" w:type="dxa"/>
            </w:tcMar>
            <w:vAlign w:val="center"/>
          </w:tcPr>
          <w:p>
            <w:pPr>
              <w:jc w:val="center"/>
            </w:pPr>
            <w:r>
              <w:rPr>
                <w:b/>
                <w:color w:val="FFFFFF"/>
                <w:sz w:val="32"/>
              </w:rPr>
              <w:t>✓</w:t>
            </w:r>
          </w:p>
        </w:tc>
        <w:tc>
          <w:tcPr>
            <w:tcW w:type="dxa" w:w="8500"/>
            <w:shd w:fill="E8F7EE"/>
            <w:tcMar>
              <w:top w:w="110" w:type="dxa"/>
              <w:start w:w="150" w:type="dxa"/>
              <w:bottom w:w="110" w:type="dxa"/>
              <w:end w:w="150" w:type="dxa"/>
            </w:tcMar>
            <w:vAlign w:val="center"/>
          </w:tcPr>
          <w:p>
            <w:r>
              <w:rPr>
                <w:b/>
                <w:color w:val="16834B"/>
              </w:rPr>
              <w:t xml:space="preserve">CALIDAD DEL DATO: </w:t>
            </w:r>
            <w:r>
              <w:t>Las estadísticas del artículo deben utilizar el precio efectivo realmente vendido cuando exista descuento, no limitarse al PVP original de tarifa.</w:t>
            </w:r>
          </w:p>
        </w:tc>
      </w:tr>
    </w:tbl>
    <w:p>
      <w:pPr/>
    </w:p>
    <w:p>
      <w:pPr>
        <w:pStyle w:val="Heading2"/>
      </w:pPr>
      <w:r>
        <w:t>5.5 Tickets abiertos, aparcado y stock</w:t>
      </w:r>
    </w:p>
    <w:p>
      <w:pPr>
        <w:jc w:val="center"/>
      </w:pPr>
      <w:r>
        <w:drawing>
          <wp:inline xmlns:a="http://schemas.openxmlformats.org/drawingml/2006/main" xmlns:pic="http://schemas.openxmlformats.org/drawingml/2006/picture">
            <wp:extent cx="2148840" cy="5056094"/>
            <wp:docPr id="4" name="Picture 4" descr="Panel lateral de Ventas con tickets abiertos, botón Aparcar ticket y stock actual, mínimo y máximo." title="Figura 5.4. Tickets abiertos y referencia de stock."/>
            <wp:cNvGraphicFramePr>
              <a:graphicFrameLocks noChangeAspect="1"/>
            </wp:cNvGraphicFramePr>
            <a:graphic>
              <a:graphicData uri="http://schemas.openxmlformats.org/drawingml/2006/picture">
                <pic:pic>
                  <pic:nvPicPr>
                    <pic:cNvPr id="0" name="06_tickets_stock.png"/>
                    <pic:cNvPicPr/>
                  </pic:nvPicPr>
                  <pic:blipFill>
                    <a:blip r:embed="rId16"/>
                    <a:stretch>
                      <a:fillRect/>
                    </a:stretch>
                  </pic:blipFill>
                  <pic:spPr>
                    <a:xfrm>
                      <a:off x="0" y="0"/>
                      <a:ext cx="2148840" cy="5056094"/>
                    </a:xfrm>
                    <a:prstGeom prst="rect"/>
                  </pic:spPr>
                </pic:pic>
              </a:graphicData>
            </a:graphic>
          </wp:inline>
        </w:drawing>
      </w:r>
    </w:p>
    <w:p>
      <w:pPr>
        <w:pStyle w:val="BodyText"/>
        <w:spacing w:after="160"/>
        <w:jc w:val="center"/>
      </w:pPr>
      <w:r>
        <w:rPr>
          <w:i/>
          <w:color w:val="505A64"/>
          <w:sz w:val="17"/>
        </w:rPr>
        <w:t>Figura 5.4. Tickets abiertos y referencia de stock.</w:t>
      </w:r>
    </w:p>
    <w:p>
      <w:pPr>
        <w:pStyle w:val="BodyText"/>
      </w:pPr>
      <w:r>
        <w:t>El panel izquierdo permite identificar operaciones aparcadas y consultar una referencia rápida del stock del artículo. El contador superior indica cuántos tickets están disponibles y cuál está seleccionado.</w:t>
      </w:r>
    </w:p>
    <w:p>
      <w:pPr>
        <w:pStyle w:val="ListBullet"/>
      </w:pPr>
      <w:r>
        <w:t>Aparque una venta cuando deba atender otra operación sin perder las líneas introducidas.</w:t>
      </w:r>
    </w:p>
    <w:p>
      <w:pPr>
        <w:pStyle w:val="ListBullet"/>
      </w:pPr>
      <w:r>
        <w:t>Antes de recuperar un ticket compruebe el cliente, el total, el puesto y el estado de la operación.</w:t>
      </w:r>
    </w:p>
    <w:p>
      <w:pPr>
        <w:pStyle w:val="ListBullet"/>
      </w:pPr>
      <w:r>
        <w:t>Evite crear una venta nueva si la operación ya está aparcada; podría provocar duplicidades.</w:t>
      </w:r>
    </w:p>
    <w:p>
      <w:pPr>
        <w:pStyle w:val="ListBullet"/>
      </w:pPr>
      <w:r>
        <w:t>El stock mostrado es una ayuda operativa. Si el negocio no mantiene existencias fiables, no debe sustituir la comprobación física o los procesos de inventario.</w:t>
      </w:r>
    </w:p>
    <w:p>
      <w:pPr>
        <w:pStyle w:val="Heading2"/>
      </w:pPr>
      <w:r>
        <w:t>5.6 Búsquedas, históricos y marcado</w:t>
      </w:r>
    </w:p>
    <w:p>
      <w:pPr>
        <w:pStyle w:val="BodyText"/>
      </w:pPr>
      <w:r>
        <w:t>En la zona de entrada existen accesos a Buscar abono, Históricos, Buscar y Marcar. Su disponibilidad puede depender del artículo, del cliente y del estado de la venta.</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300"/>
            <w:shd w:fill="0B4A70"/>
            <w:tcMar>
              <w:top w:w="100" w:type="dxa"/>
              <w:start w:w="100" w:type="dxa"/>
              <w:bottom w:w="100" w:type="dxa"/>
              <w:end w:w="100" w:type="dxa"/>
            </w:tcMar>
          </w:tcPr>
          <w:p>
            <w:pPr>
              <w:jc w:val="center"/>
            </w:pPr>
            <w:r>
              <w:rPr>
                <w:b/>
                <w:color w:val="FFFFFF"/>
                <w:sz w:val="18"/>
              </w:rPr>
              <w:t>Acceso</w:t>
            </w:r>
          </w:p>
        </w:tc>
        <w:tc>
          <w:tcPr>
            <w:tcW w:type="dxa" w:w="6700"/>
            <w:shd w:fill="0B4A70"/>
            <w:tcMar>
              <w:top w:w="100" w:type="dxa"/>
              <w:start w:w="100" w:type="dxa"/>
              <w:bottom w:w="100" w:type="dxa"/>
              <w:end w:w="100" w:type="dxa"/>
            </w:tcMar>
          </w:tcPr>
          <w:p>
            <w:pPr>
              <w:jc w:val="center"/>
            </w:pPr>
            <w:r>
              <w:rPr>
                <w:b/>
                <w:color w:val="FFFFFF"/>
                <w:sz w:val="18"/>
              </w:rPr>
              <w:t>Uso orientativo</w:t>
            </w:r>
          </w:p>
        </w:tc>
      </w:tr>
      <w:tr>
        <w:tc>
          <w:tcPr>
            <w:tcW w:type="dxa" w:w="2300"/>
            <w:tcMar>
              <w:top w:w="85" w:type="dxa"/>
              <w:start w:w="95" w:type="dxa"/>
              <w:bottom w:w="85" w:type="dxa"/>
              <w:end w:w="95" w:type="dxa"/>
            </w:tcMar>
          </w:tcPr>
          <w:p>
            <w:r>
              <w:rPr>
                <w:sz w:val="18"/>
              </w:rPr>
              <w:t>Buscar</w:t>
            </w:r>
          </w:p>
        </w:tc>
        <w:tc>
          <w:tcPr>
            <w:tcW w:type="dxa" w:w="6700"/>
            <w:tcMar>
              <w:top w:w="85" w:type="dxa"/>
              <w:start w:w="95" w:type="dxa"/>
              <w:bottom w:w="85" w:type="dxa"/>
              <w:end w:w="95" w:type="dxa"/>
            </w:tcMar>
          </w:tcPr>
          <w:p>
            <w:r>
              <w:rPr>
                <w:sz w:val="18"/>
              </w:rPr>
              <w:t>Localizar artículos cuando no se conoce el código o el EAN.</w:t>
            </w:r>
          </w:p>
        </w:tc>
      </w:tr>
      <w:tr>
        <w:tc>
          <w:tcPr>
            <w:tcW w:type="dxa" w:w="2300"/>
            <w:tcMar>
              <w:top w:w="85" w:type="dxa"/>
              <w:start w:w="95" w:type="dxa"/>
              <w:bottom w:w="85" w:type="dxa"/>
              <w:end w:w="95" w:type="dxa"/>
            </w:tcMar>
            <w:shd w:fill="F1F6FA"/>
          </w:tcPr>
          <w:p>
            <w:r>
              <w:rPr>
                <w:sz w:val="18"/>
              </w:rPr>
              <w:t>Históricos</w:t>
            </w:r>
          </w:p>
        </w:tc>
        <w:tc>
          <w:tcPr>
            <w:tcW w:type="dxa" w:w="6700"/>
            <w:tcMar>
              <w:top w:w="85" w:type="dxa"/>
              <w:start w:w="95" w:type="dxa"/>
              <w:bottom w:w="85" w:type="dxa"/>
              <w:end w:w="95" w:type="dxa"/>
            </w:tcMar>
            <w:shd w:fill="F1F6FA"/>
          </w:tcPr>
          <w:p>
            <w:r>
              <w:rPr>
                <w:sz w:val="18"/>
              </w:rPr>
              <w:t>Consultar ventas o precios anteriores según el filtro seleccionado.</w:t>
            </w:r>
          </w:p>
        </w:tc>
      </w:tr>
      <w:tr>
        <w:tc>
          <w:tcPr>
            <w:tcW w:type="dxa" w:w="2300"/>
            <w:tcMar>
              <w:top w:w="85" w:type="dxa"/>
              <w:start w:w="95" w:type="dxa"/>
              <w:bottom w:w="85" w:type="dxa"/>
              <w:end w:w="95" w:type="dxa"/>
            </w:tcMar>
          </w:tcPr>
          <w:p>
            <w:r>
              <w:rPr>
                <w:sz w:val="18"/>
              </w:rPr>
              <w:t>Buscar abono</w:t>
            </w:r>
          </w:p>
        </w:tc>
        <w:tc>
          <w:tcPr>
            <w:tcW w:type="dxa" w:w="6700"/>
            <w:tcMar>
              <w:top w:w="85" w:type="dxa"/>
              <w:start w:w="95" w:type="dxa"/>
              <w:bottom w:w="85" w:type="dxa"/>
              <w:end w:w="95" w:type="dxa"/>
            </w:tcMar>
          </w:tcPr>
          <w:p>
            <w:r>
              <w:rPr>
                <w:sz w:val="18"/>
              </w:rPr>
              <w:t>Localizar un documento o línea de origen para una devolución o abono.</w:t>
            </w:r>
          </w:p>
        </w:tc>
      </w:tr>
      <w:tr>
        <w:tc>
          <w:tcPr>
            <w:tcW w:type="dxa" w:w="2300"/>
            <w:tcMar>
              <w:top w:w="85" w:type="dxa"/>
              <w:start w:w="95" w:type="dxa"/>
              <w:bottom w:w="85" w:type="dxa"/>
              <w:end w:w="95" w:type="dxa"/>
            </w:tcMar>
            <w:shd w:fill="F1F6FA"/>
          </w:tcPr>
          <w:p>
            <w:r>
              <w:rPr>
                <w:sz w:val="18"/>
              </w:rPr>
              <w:t>Marcar</w:t>
            </w:r>
          </w:p>
        </w:tc>
        <w:tc>
          <w:tcPr>
            <w:tcW w:type="dxa" w:w="6700"/>
            <w:tcMar>
              <w:top w:w="85" w:type="dxa"/>
              <w:start w:w="95" w:type="dxa"/>
              <w:bottom w:w="85" w:type="dxa"/>
              <w:end w:w="95" w:type="dxa"/>
            </w:tcMar>
            <w:shd w:fill="F1F6FA"/>
          </w:tcPr>
          <w:p>
            <w:r>
              <w:rPr>
                <w:sz w:val="18"/>
              </w:rPr>
              <w:t>Aplicar la función de marcado definida por el circuito de Ventas.</w:t>
            </w:r>
          </w:p>
        </w:tc>
      </w:tr>
    </w:tbl>
    <w:p>
      <w:pPr/>
    </w:p>
    <w:tbl>
      <w:tblPr>
        <w:tblW w:type="auto" w:w="0"/>
        <w:jc w:val="center"/>
        <w:tblLayout w:type="fixed"/>
        <w:tblLook w:firstColumn="1" w:firstRow="1" w:lastColumn="0" w:lastRow="0" w:noHBand="0" w:noVBand="1" w:val="04A0"/>
      </w:tblPr>
      <w:tblGrid>
        <w:gridCol w:w="4929"/>
        <w:gridCol w:w="4929"/>
      </w:tblGrid>
      <w:tr>
        <w:tc>
          <w:tcPr>
            <w:tcW w:type="dxa" w:w="520"/>
            <w:shd w:fill="B36B00"/>
            <w:tcMar>
              <w:top w:w="110" w:type="dxa"/>
              <w:start w:w="70" w:type="dxa"/>
              <w:bottom w:w="110" w:type="dxa"/>
              <w:end w:w="70" w:type="dxa"/>
            </w:tcMar>
            <w:vAlign w:val="center"/>
          </w:tcPr>
          <w:p>
            <w:pPr>
              <w:jc w:val="center"/>
            </w:pPr>
            <w:r>
              <w:rPr>
                <w:b/>
                <w:color w:val="FFFFFF"/>
                <w:sz w:val="32"/>
              </w:rPr>
              <w:t>!</w:t>
            </w:r>
          </w:p>
        </w:tc>
        <w:tc>
          <w:tcPr>
            <w:tcW w:type="dxa" w:w="8500"/>
            <w:shd w:fill="FFF4DF"/>
            <w:tcMar>
              <w:top w:w="110" w:type="dxa"/>
              <w:start w:w="150" w:type="dxa"/>
              <w:bottom w:w="110" w:type="dxa"/>
              <w:end w:w="150" w:type="dxa"/>
            </w:tcMar>
            <w:vAlign w:val="center"/>
          </w:tcPr>
          <w:p>
            <w:r>
              <w:rPr>
                <w:b/>
                <w:color w:val="B36B00"/>
              </w:rPr>
              <w:t xml:space="preserve">USO CONTROLADO: </w:t>
            </w:r>
            <w:r>
              <w:t>Una devolución no debe localizarse únicamente por importe. Compruebe cliente, artículo, fecha, serie y documento de origen.</w:t>
            </w:r>
          </w:p>
        </w:tc>
      </w:tr>
    </w:tbl>
    <w:p>
      <w:pPr/>
    </w:p>
    <w:p>
      <w:pPr>
        <w:pStyle w:val="Heading2"/>
      </w:pPr>
      <w:r>
        <w:t>5.7 Códigos varios, teclado virtual y teclado de productos</w:t>
      </w:r>
    </w:p>
    <w:p>
      <w:pPr>
        <w:pStyle w:val="BodyText"/>
      </w:pPr>
      <w:r>
        <w:t>Los códigos varios permiten vender un concepto que no existe como artículo estándar. El flujo validado del panel es Descripción → Cantidad → PVP, compatible con ENTER y TAB. Deben utilizarse de forma excepcional porque reducen la trazabilidad de stock, familia, proveedor y estadísticas.</w:t>
      </w:r>
    </w:p>
    <w:p>
      <w:pPr>
        <w:pStyle w:val="ListBullet"/>
      </w:pPr>
      <w:r>
        <w:t>Cantidad y precio activan el teclado numérico.</w:t>
      </w:r>
    </w:p>
    <w:p>
      <w:pPr>
        <w:pStyle w:val="ListBullet"/>
      </w:pPr>
      <w:r>
        <w:t>Descripción y búsquedas activan el teclado alfanumérico.</w:t>
      </w:r>
    </w:p>
    <w:p>
      <w:pPr>
        <w:pStyle w:val="ListBullet"/>
      </w:pPr>
      <w:r>
        <w:t>Ocultar minimiza el teclado sin cerrar ni bloquear la venta.</w:t>
      </w:r>
    </w:p>
    <w:p>
      <w:pPr>
        <w:pStyle w:val="ListBullet"/>
      </w:pPr>
      <w:r>
        <w:t>El teclado de productos organiza botones por grupos y orden configurado.</w:t>
      </w:r>
    </w:p>
    <w:p>
      <w:pPr>
        <w:pStyle w:val="ListBullet"/>
      </w:pPr>
      <w:r>
        <w:t>La configuración permite activar o desactivar varios productos y buscar por descripción o EAN.</w:t>
      </w:r>
    </w:p>
    <w:tbl>
      <w:tblPr>
        <w:tblW w:type="auto" w:w="0"/>
        <w:jc w:val="center"/>
        <w:tblLayout w:type="fixed"/>
        <w:tblLook w:firstColumn="1" w:firstRow="1" w:lastColumn="0" w:lastRow="0" w:noHBand="0" w:noVBand="1" w:val="04A0"/>
      </w:tblPr>
      <w:tblGrid>
        <w:gridCol w:w="4929"/>
        <w:gridCol w:w="4929"/>
      </w:tblGrid>
      <w:tr>
        <w:tc>
          <w:tcPr>
            <w:tcW w:type="dxa" w:w="520"/>
            <w:shd w:fill="0B5C78"/>
            <w:tcMar>
              <w:top w:w="110" w:type="dxa"/>
              <w:start w:w="70" w:type="dxa"/>
              <w:bottom w:w="110" w:type="dxa"/>
              <w:end w:w="70" w:type="dxa"/>
            </w:tcMar>
            <w:vAlign w:val="center"/>
          </w:tcPr>
          <w:p>
            <w:pPr>
              <w:jc w:val="center"/>
            </w:pPr>
            <w:r>
              <w:rPr>
                <w:b/>
                <w:color w:val="FFFFFF"/>
                <w:sz w:val="32"/>
              </w:rPr>
              <w:t>i</w:t>
            </w:r>
          </w:p>
        </w:tc>
        <w:tc>
          <w:tcPr>
            <w:tcW w:type="dxa" w:w="8500"/>
            <w:shd w:fill="E9F4F8"/>
            <w:tcMar>
              <w:top w:w="110" w:type="dxa"/>
              <w:start w:w="150" w:type="dxa"/>
              <w:bottom w:w="110" w:type="dxa"/>
              <w:end w:w="150" w:type="dxa"/>
            </w:tcMar>
            <w:vAlign w:val="center"/>
          </w:tcPr>
          <w:p>
            <w:r>
              <w:rPr>
                <w:b/>
                <w:color w:val="0B5C78"/>
              </w:rPr>
              <w:t xml:space="preserve">CAPTURA PENDIENTE: </w:t>
            </w:r>
            <w:r>
              <w:t>Se incorporarán capturas reales del teclado numérico, alfanumérico y del configurador de productos cuando se disponga de una revisión visual definitiva con datos de ejemplo.</w:t>
            </w:r>
          </w:p>
        </w:tc>
      </w:tr>
    </w:tbl>
    <w:p>
      <w:pPr/>
    </w:p>
    <w:p>
      <w:pPr>
        <w:pStyle w:val="Heading2"/>
      </w:pPr>
      <w:r>
        <w:t>5.8 Totalización y cobro</w:t>
      </w:r>
    </w:p>
    <w:p>
      <w:pPr>
        <w:pStyle w:val="BodyText"/>
      </w:pPr>
      <w:r>
        <w:t>La totalización se inicia con el botón verde Totalizar o con F8. Antes de abrirla, revise que el total de la esquina derecha y el total de Venta en curso coinciden.</w:t>
      </w:r>
    </w:p>
    <w:p>
      <w:pPr>
        <w:jc w:val="center"/>
      </w:pPr>
      <w:r>
        <w:drawing>
          <wp:inline xmlns:a="http://schemas.openxmlformats.org/drawingml/2006/main" xmlns:pic="http://schemas.openxmlformats.org/drawingml/2006/picture">
            <wp:extent cx="3063240" cy="4530800"/>
            <wp:docPr id="5" name="Picture 5" descr="Panel derecho de Ventas con total, QR VeriFactu, botón Totalizar y accesos a cajón, créditos, impresión, pedido, borrado y salida." title="Figura 5.5. Total, QR VeriFactu y acciones principales."/>
            <wp:cNvGraphicFramePr>
              <a:graphicFrameLocks noChangeAspect="1"/>
            </wp:cNvGraphicFramePr>
            <a:graphic>
              <a:graphicData uri="http://schemas.openxmlformats.org/drawingml/2006/picture">
                <pic:pic>
                  <pic:nvPicPr>
                    <pic:cNvPr id="0" name="04_total_acciones.png"/>
                    <pic:cNvPicPr/>
                  </pic:nvPicPr>
                  <pic:blipFill>
                    <a:blip r:embed="rId17"/>
                    <a:stretch>
                      <a:fillRect/>
                    </a:stretch>
                  </pic:blipFill>
                  <pic:spPr>
                    <a:xfrm>
                      <a:off x="0" y="0"/>
                      <a:ext cx="3063240" cy="4530800"/>
                    </a:xfrm>
                    <a:prstGeom prst="rect"/>
                  </pic:spPr>
                </pic:pic>
              </a:graphicData>
            </a:graphic>
          </wp:inline>
        </w:drawing>
      </w:r>
    </w:p>
    <w:p>
      <w:pPr>
        <w:pStyle w:val="BodyText"/>
        <w:spacing w:after="160"/>
        <w:jc w:val="center"/>
      </w:pPr>
      <w:r>
        <w:rPr>
          <w:i/>
          <w:color w:val="505A64"/>
          <w:sz w:val="17"/>
        </w:rPr>
        <w:t>Figura 5.5. Total, QR VeriFactu y acciones principales.</w:t>
      </w:r>
    </w:p>
    <w:p>
      <w:pPr>
        <w:pStyle w:val="BodyText"/>
        <w:ind w:left="317" w:hanging="317"/>
      </w:pPr>
      <w:r>
        <w:rPr>
          <w:b/>
        </w:rPr>
        <w:t xml:space="preserve">1. </w:t>
      </w:r>
      <w:r>
        <w:t>Pulse F8 o Totalizar.</w:t>
      </w:r>
    </w:p>
    <w:p>
      <w:pPr>
        <w:pStyle w:val="BodyText"/>
        <w:ind w:left="317" w:hanging="317"/>
      </w:pPr>
      <w:r>
        <w:rPr>
          <w:b/>
        </w:rPr>
        <w:t xml:space="preserve">2. </w:t>
      </w:r>
      <w:r>
        <w:t>Seleccione o confirme la forma de pago.</w:t>
      </w:r>
    </w:p>
    <w:p>
      <w:pPr>
        <w:pStyle w:val="BodyText"/>
        <w:ind w:left="317" w:hanging="317"/>
      </w:pPr>
      <w:r>
        <w:rPr>
          <w:b/>
        </w:rPr>
        <w:t xml:space="preserve">3. </w:t>
      </w:r>
      <w:r>
        <w:t>Introduzca la cantidad entregada cuando proceda; el foco debe quedar en Entrega.</w:t>
      </w:r>
    </w:p>
    <w:p>
      <w:pPr>
        <w:pStyle w:val="BodyText"/>
        <w:ind w:left="317" w:hanging="317"/>
      </w:pPr>
      <w:r>
        <w:rPr>
          <w:b/>
        </w:rPr>
        <w:t xml:space="preserve">4. </w:t>
      </w:r>
      <w:r>
        <w:t>Compruebe el Cambio calculado.</w:t>
      </w:r>
    </w:p>
    <w:p>
      <w:pPr>
        <w:pStyle w:val="BodyText"/>
        <w:ind w:left="317" w:hanging="317"/>
      </w:pPr>
      <w:r>
        <w:rPr>
          <w:b/>
        </w:rPr>
        <w:t xml:space="preserve">5. </w:t>
      </w:r>
      <w:r>
        <w:t>Seleccione impresión directa, albarán/factura o envío por correo cuando el circuito lo permita.</w:t>
      </w:r>
    </w:p>
    <w:p>
      <w:pPr>
        <w:pStyle w:val="BodyText"/>
        <w:ind w:left="317" w:hanging="317"/>
      </w:pPr>
      <w:r>
        <w:rPr>
          <w:b/>
        </w:rPr>
        <w:t xml:space="preserve">6. </w:t>
      </w:r>
      <w:r>
        <w:t>Confirme la operación y espere el mensaje final antes de iniciar otra venta.</w:t>
      </w:r>
    </w:p>
    <w:p>
      <w:pPr>
        <w:jc w:val="center"/>
      </w:pPr>
      <w:r>
        <w:drawing>
          <wp:inline xmlns:a="http://schemas.openxmlformats.org/drawingml/2006/main" xmlns:pic="http://schemas.openxmlformats.org/drawingml/2006/picture">
            <wp:extent cx="5989320" cy="778612"/>
            <wp:docPr id="6" name="Picture 6" descr="Resumen de cobro con forma de pago, descuento, copias, importe, total, entrega y cambio." title="Figura 5.6. Resumen real de cobro integrado en Ventas."/>
            <wp:cNvGraphicFramePr>
              <a:graphicFrameLocks noChangeAspect="1"/>
            </wp:cNvGraphicFramePr>
            <a:graphic>
              <a:graphicData uri="http://schemas.openxmlformats.org/drawingml/2006/picture">
                <pic:pic>
                  <pic:nvPicPr>
                    <pic:cNvPr id="0" name="08_resumen_cobro.png"/>
                    <pic:cNvPicPr/>
                  </pic:nvPicPr>
                  <pic:blipFill>
                    <a:blip r:embed="rId18"/>
                    <a:stretch>
                      <a:fillRect/>
                    </a:stretch>
                  </pic:blipFill>
                  <pic:spPr>
                    <a:xfrm>
                      <a:off x="0" y="0"/>
                      <a:ext cx="5989320" cy="778612"/>
                    </a:xfrm>
                    <a:prstGeom prst="rect"/>
                  </pic:spPr>
                </pic:pic>
              </a:graphicData>
            </a:graphic>
          </wp:inline>
        </w:drawing>
      </w:r>
    </w:p>
    <w:p>
      <w:pPr>
        <w:pStyle w:val="BodyText"/>
        <w:spacing w:after="160"/>
        <w:jc w:val="center"/>
      </w:pPr>
      <w:r>
        <w:rPr>
          <w:i/>
          <w:color w:val="505A64"/>
          <w:sz w:val="17"/>
        </w:rPr>
        <w:t>Figura 5.6. Resumen real de cobro integrado en Ventas.</w:t>
      </w:r>
    </w:p>
    <w:tbl>
      <w:tblPr>
        <w:tblW w:type="auto" w:w="0"/>
        <w:jc w:val="center"/>
        <w:tblLayout w:type="fixed"/>
        <w:tblLook w:firstColumn="1" w:firstRow="1" w:lastColumn="0" w:lastRow="0" w:noHBand="0" w:noVBand="1" w:val="04A0"/>
      </w:tblPr>
      <w:tblGrid>
        <w:gridCol w:w="4929"/>
        <w:gridCol w:w="4929"/>
      </w:tblGrid>
      <w:tr>
        <w:tc>
          <w:tcPr>
            <w:tcW w:type="dxa" w:w="520"/>
            <w:shd w:fill="B11D1D"/>
            <w:tcMar>
              <w:top w:w="110" w:type="dxa"/>
              <w:start w:w="70" w:type="dxa"/>
              <w:bottom w:w="110" w:type="dxa"/>
              <w:end w:w="70" w:type="dxa"/>
            </w:tcMar>
            <w:vAlign w:val="center"/>
          </w:tcPr>
          <w:p>
            <w:pPr>
              <w:jc w:val="center"/>
            </w:pPr>
            <w:r>
              <w:rPr>
                <w:b/>
                <w:color w:val="FFFFFF"/>
                <w:sz w:val="32"/>
              </w:rPr>
              <w:t>!</w:t>
            </w:r>
          </w:p>
        </w:tc>
        <w:tc>
          <w:tcPr>
            <w:tcW w:type="dxa" w:w="8500"/>
            <w:shd w:fill="FDEAEA"/>
            <w:tcMar>
              <w:top w:w="110" w:type="dxa"/>
              <w:start w:w="150" w:type="dxa"/>
              <w:bottom w:w="110" w:type="dxa"/>
              <w:end w:w="150" w:type="dxa"/>
            </w:tcMar>
            <w:vAlign w:val="center"/>
          </w:tcPr>
          <w:p>
            <w:r>
              <w:rPr>
                <w:b/>
                <w:color w:val="B11D1D"/>
              </w:rPr>
              <w:t xml:space="preserve">VISIBILIDAD: </w:t>
            </w:r>
            <w:r>
              <w:t>El Total, la Entrega y el Cambio deben leerse como importes independientes. Si un aviso queda oculto detrás de otros componentes, no repita el cobro hasta comprobar si la operación ya fue registrada.</w:t>
            </w:r>
          </w:p>
        </w:tc>
      </w:tr>
    </w:tbl>
    <w:p>
      <w:pPr/>
    </w:p>
    <w:p>
      <w:pPr>
        <w:pStyle w:val="Heading2"/>
      </w:pPr>
      <w:r>
        <w:t>5.9 Documentos de salida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900"/>
            <w:shd w:fill="0B4A70"/>
            <w:tcMar>
              <w:top w:w="100" w:type="dxa"/>
              <w:start w:w="100" w:type="dxa"/>
              <w:bottom w:w="100" w:type="dxa"/>
              <w:end w:w="100" w:type="dxa"/>
            </w:tcMar>
          </w:tcPr>
          <w:p>
            <w:pPr>
              <w:jc w:val="center"/>
            </w:pPr>
            <w:r>
              <w:rPr>
                <w:b/>
                <w:color w:val="FFFFFF"/>
                <w:sz w:val="18"/>
              </w:rPr>
              <w:t>Documento</w:t>
            </w:r>
          </w:p>
        </w:tc>
        <w:tc>
          <w:tcPr>
            <w:tcW w:type="dxa" w:w="3000"/>
            <w:shd w:fill="0B4A70"/>
            <w:tcMar>
              <w:top w:w="100" w:type="dxa"/>
              <w:start w:w="100" w:type="dxa"/>
              <w:bottom w:w="100" w:type="dxa"/>
              <w:end w:w="100" w:type="dxa"/>
            </w:tcMar>
          </w:tcPr>
          <w:p>
            <w:pPr>
              <w:jc w:val="center"/>
            </w:pPr>
            <w:r>
              <w:rPr>
                <w:b/>
                <w:color w:val="FFFFFF"/>
                <w:sz w:val="18"/>
              </w:rPr>
              <w:t>Uso habitual</w:t>
            </w:r>
          </w:p>
        </w:tc>
        <w:tc>
          <w:tcPr>
            <w:tcW w:type="dxa" w:w="4100"/>
            <w:shd w:fill="0B4A70"/>
            <w:tcMar>
              <w:top w:w="100" w:type="dxa"/>
              <w:start w:w="100" w:type="dxa"/>
              <w:bottom w:w="100" w:type="dxa"/>
              <w:end w:w="100" w:type="dxa"/>
            </w:tcMar>
          </w:tcPr>
          <w:p>
            <w:pPr>
              <w:jc w:val="center"/>
            </w:pPr>
            <w:r>
              <w:rPr>
                <w:b/>
                <w:color w:val="FFFFFF"/>
                <w:sz w:val="18"/>
              </w:rPr>
              <w:t>Comprobaciones esenciales</w:t>
            </w:r>
          </w:p>
        </w:tc>
      </w:tr>
      <w:tr>
        <w:tc>
          <w:tcPr>
            <w:tcW w:type="dxa" w:w="1900"/>
            <w:tcMar>
              <w:top w:w="85" w:type="dxa"/>
              <w:start w:w="95" w:type="dxa"/>
              <w:bottom w:w="85" w:type="dxa"/>
              <w:end w:w="95" w:type="dxa"/>
            </w:tcMar>
          </w:tcPr>
          <w:p>
            <w:r>
              <w:rPr>
                <w:sz w:val="18"/>
              </w:rPr>
              <w:t>Ticket / factura simplificada</w:t>
            </w:r>
          </w:p>
        </w:tc>
        <w:tc>
          <w:tcPr>
            <w:tcW w:type="dxa" w:w="3000"/>
            <w:tcMar>
              <w:top w:w="85" w:type="dxa"/>
              <w:start w:w="95" w:type="dxa"/>
              <w:bottom w:w="85" w:type="dxa"/>
              <w:end w:w="95" w:type="dxa"/>
            </w:tcMar>
          </w:tcPr>
          <w:p>
            <w:r>
              <w:rPr>
                <w:sz w:val="18"/>
              </w:rPr>
              <w:t>Venta inmediata de mostrador.</w:t>
            </w:r>
          </w:p>
        </w:tc>
        <w:tc>
          <w:tcPr>
            <w:tcW w:type="dxa" w:w="4100"/>
            <w:tcMar>
              <w:top w:w="85" w:type="dxa"/>
              <w:start w:w="95" w:type="dxa"/>
              <w:bottom w:w="85" w:type="dxa"/>
              <w:end w:w="95" w:type="dxa"/>
            </w:tcMar>
          </w:tcPr>
          <w:p>
            <w:r>
              <w:rPr>
                <w:sz w:val="18"/>
              </w:rPr>
              <w:t>Serie simplificada, total, forma de pago y requisitos fiscales aplicables.</w:t>
            </w:r>
          </w:p>
        </w:tc>
      </w:tr>
      <w:tr>
        <w:tc>
          <w:tcPr>
            <w:tcW w:type="dxa" w:w="1900"/>
            <w:tcMar>
              <w:top w:w="85" w:type="dxa"/>
              <w:start w:w="95" w:type="dxa"/>
              <w:bottom w:w="85" w:type="dxa"/>
              <w:end w:w="95" w:type="dxa"/>
            </w:tcMar>
            <w:shd w:fill="F1F6FA"/>
          </w:tcPr>
          <w:p>
            <w:r>
              <w:rPr>
                <w:sz w:val="18"/>
              </w:rPr>
              <w:t>Albarán</w:t>
            </w:r>
          </w:p>
        </w:tc>
        <w:tc>
          <w:tcPr>
            <w:tcW w:type="dxa" w:w="3000"/>
            <w:tcMar>
              <w:top w:w="85" w:type="dxa"/>
              <w:start w:w="95" w:type="dxa"/>
              <w:bottom w:w="85" w:type="dxa"/>
              <w:end w:w="95" w:type="dxa"/>
            </w:tcMar>
            <w:shd w:fill="F1F6FA"/>
          </w:tcPr>
          <w:p>
            <w:r>
              <w:rPr>
                <w:sz w:val="18"/>
              </w:rPr>
              <w:t>Entrega pendiente de facturación.</w:t>
            </w:r>
          </w:p>
        </w:tc>
        <w:tc>
          <w:tcPr>
            <w:tcW w:type="dxa" w:w="4100"/>
            <w:tcMar>
              <w:top w:w="85" w:type="dxa"/>
              <w:start w:w="95" w:type="dxa"/>
              <w:bottom w:w="85" w:type="dxa"/>
              <w:end w:w="95" w:type="dxa"/>
            </w:tcMar>
            <w:shd w:fill="F1F6FA"/>
          </w:tcPr>
          <w:p>
            <w:r>
              <w:rPr>
                <w:sz w:val="18"/>
              </w:rPr>
              <w:t>Cliente identificado, serie, número y posterior facturación.</w:t>
            </w:r>
          </w:p>
        </w:tc>
      </w:tr>
      <w:tr>
        <w:tc>
          <w:tcPr>
            <w:tcW w:type="dxa" w:w="1900"/>
            <w:tcMar>
              <w:top w:w="85" w:type="dxa"/>
              <w:start w:w="95" w:type="dxa"/>
              <w:bottom w:w="85" w:type="dxa"/>
              <w:end w:w="95" w:type="dxa"/>
            </w:tcMar>
          </w:tcPr>
          <w:p>
            <w:r>
              <w:rPr>
                <w:sz w:val="18"/>
              </w:rPr>
              <w:t>Factura completa</w:t>
            </w:r>
          </w:p>
        </w:tc>
        <w:tc>
          <w:tcPr>
            <w:tcW w:type="dxa" w:w="3000"/>
            <w:tcMar>
              <w:top w:w="85" w:type="dxa"/>
              <w:start w:w="95" w:type="dxa"/>
              <w:bottom w:w="85" w:type="dxa"/>
              <w:end w:w="95" w:type="dxa"/>
            </w:tcMar>
          </w:tcPr>
          <w:p>
            <w:r>
              <w:rPr>
                <w:sz w:val="18"/>
              </w:rPr>
              <w:t>Documento fiscal con destinatario.</w:t>
            </w:r>
          </w:p>
        </w:tc>
        <w:tc>
          <w:tcPr>
            <w:tcW w:type="dxa" w:w="4100"/>
            <w:tcMar>
              <w:top w:w="85" w:type="dxa"/>
              <w:start w:w="95" w:type="dxa"/>
              <w:bottom w:w="85" w:type="dxa"/>
              <w:end w:w="95" w:type="dxa"/>
            </w:tcMar>
          </w:tcPr>
          <w:p>
            <w:r>
              <w:rPr>
                <w:sz w:val="18"/>
              </w:rPr>
              <w:t>Razón social, NIF, dirección, serie, número, IVA y total.</w:t>
            </w:r>
          </w:p>
        </w:tc>
      </w:tr>
      <w:tr>
        <w:tc>
          <w:tcPr>
            <w:tcW w:type="dxa" w:w="1900"/>
            <w:tcMar>
              <w:top w:w="85" w:type="dxa"/>
              <w:start w:w="95" w:type="dxa"/>
              <w:bottom w:w="85" w:type="dxa"/>
              <w:end w:w="95" w:type="dxa"/>
            </w:tcMar>
            <w:shd w:fill="F1F6FA"/>
          </w:tcPr>
          <w:p>
            <w:r>
              <w:rPr>
                <w:sz w:val="18"/>
              </w:rPr>
              <w:t>Rectificativa</w:t>
            </w:r>
          </w:p>
        </w:tc>
        <w:tc>
          <w:tcPr>
            <w:tcW w:type="dxa" w:w="3000"/>
            <w:tcMar>
              <w:top w:w="85" w:type="dxa"/>
              <w:start w:w="95" w:type="dxa"/>
              <w:bottom w:w="85" w:type="dxa"/>
              <w:end w:w="95" w:type="dxa"/>
            </w:tcMar>
            <w:shd w:fill="F1F6FA"/>
          </w:tcPr>
          <w:p>
            <w:r>
              <w:rPr>
                <w:sz w:val="18"/>
              </w:rPr>
              <w:t>Corrección de un documento anterior.</w:t>
            </w:r>
          </w:p>
        </w:tc>
        <w:tc>
          <w:tcPr>
            <w:tcW w:type="dxa" w:w="4100"/>
            <w:tcMar>
              <w:top w:w="85" w:type="dxa"/>
              <w:start w:w="95" w:type="dxa"/>
              <w:bottom w:w="85" w:type="dxa"/>
              <w:end w:w="95" w:type="dxa"/>
            </w:tcMar>
            <w:shd w:fill="F1F6FA"/>
          </w:tcPr>
          <w:p>
            <w:r>
              <w:rPr>
                <w:sz w:val="18"/>
              </w:rPr>
              <w:t>Tipo de origen, serie, número, cliente, motivo y referencia al documento corregido.</w:t>
            </w:r>
          </w:p>
        </w:tc>
      </w:tr>
    </w:tbl>
    <w:p>
      <w:pPr/>
    </w:p>
    <w:tbl>
      <w:tblPr>
        <w:tblW w:type="auto" w:w="0"/>
        <w:jc w:val="center"/>
        <w:tblLayout w:type="fixed"/>
        <w:tblLook w:firstColumn="1" w:firstRow="1" w:lastColumn="0" w:lastRow="0" w:noHBand="0" w:noVBand="1" w:val="04A0"/>
      </w:tblPr>
      <w:tblGrid>
        <w:gridCol w:w="4929"/>
        <w:gridCol w:w="4929"/>
      </w:tblGrid>
      <w:tr>
        <w:tc>
          <w:tcPr>
            <w:tcW w:type="dxa" w:w="520"/>
            <w:shd w:fill="B36B00"/>
            <w:tcMar>
              <w:top w:w="110" w:type="dxa"/>
              <w:start w:w="70" w:type="dxa"/>
              <w:bottom w:w="110" w:type="dxa"/>
              <w:end w:w="70" w:type="dxa"/>
            </w:tcMar>
            <w:vAlign w:val="center"/>
          </w:tcPr>
          <w:p>
            <w:pPr>
              <w:jc w:val="center"/>
            </w:pPr>
            <w:r>
              <w:rPr>
                <w:b/>
                <w:color w:val="FFFFFF"/>
                <w:sz w:val="32"/>
              </w:rPr>
              <w:t>!</w:t>
            </w:r>
          </w:p>
        </w:tc>
        <w:tc>
          <w:tcPr>
            <w:tcW w:type="dxa" w:w="8500"/>
            <w:shd w:fill="FFF4DF"/>
            <w:tcMar>
              <w:top w:w="110" w:type="dxa"/>
              <w:start w:w="150" w:type="dxa"/>
              <w:bottom w:w="110" w:type="dxa"/>
              <w:end w:w="150" w:type="dxa"/>
            </w:tcMar>
            <w:vAlign w:val="center"/>
          </w:tcPr>
          <w:p>
            <w:r>
              <w:rPr>
                <w:b/>
                <w:color w:val="B36B00"/>
              </w:rPr>
              <w:t xml:space="preserve">ALBARANES: </w:t>
            </w:r>
            <w:r>
              <w:t>Un albarán debe anularse normalmente mediante otro albarán. Tratarlo como ticket puede solicitar una serie o número que no corresponde al circuito original.</w:t>
            </w:r>
          </w:p>
        </w:tc>
      </w:tr>
    </w:tbl>
    <w:p>
      <w:pPr/>
    </w:p>
    <w:p>
      <w:pPr>
        <w:pStyle w:val="Heading2"/>
      </w:pPr>
      <w:r>
        <w:t>5.10 Ejemplo de una venta con líneas</w:t>
      </w:r>
    </w:p>
    <w:p>
      <w:pPr>
        <w:jc w:val="center"/>
      </w:pPr>
      <w:r>
        <w:drawing>
          <wp:inline xmlns:a="http://schemas.openxmlformats.org/drawingml/2006/main" xmlns:pic="http://schemas.openxmlformats.org/drawingml/2006/picture">
            <wp:extent cx="6144768" cy="3996478"/>
            <wp:docPr id="7" name="Picture 7" descr="Pantalla real de Ventas con cliente de contado, tres líneas de artículos y total de 3,30 euros." title="Figura 5.7. Ejemplo real con tres líneas introducidas. La disposición corresponde a una revisión anterior compatible."/>
            <wp:cNvGraphicFramePr>
              <a:graphicFrameLocks noChangeAspect="1"/>
            </wp:cNvGraphicFramePr>
            <a:graphic>
              <a:graphicData uri="http://schemas.openxmlformats.org/drawingml/2006/picture">
                <pic:pic>
                  <pic:nvPicPr>
                    <pic:cNvPr id="0" name="07_ejemplo_venta_con_lineas.png"/>
                    <pic:cNvPicPr/>
                  </pic:nvPicPr>
                  <pic:blipFill>
                    <a:blip r:embed="rId19"/>
                    <a:stretch>
                      <a:fillRect/>
                    </a:stretch>
                  </pic:blipFill>
                  <pic:spPr>
                    <a:xfrm>
                      <a:off x="0" y="0"/>
                      <a:ext cx="6144768" cy="3996478"/>
                    </a:xfrm>
                    <a:prstGeom prst="rect"/>
                  </pic:spPr>
                </pic:pic>
              </a:graphicData>
            </a:graphic>
          </wp:inline>
        </w:drawing>
      </w:r>
    </w:p>
    <w:p>
      <w:pPr>
        <w:pStyle w:val="BodyText"/>
        <w:spacing w:after="160"/>
        <w:jc w:val="center"/>
      </w:pPr>
      <w:r>
        <w:rPr>
          <w:i/>
          <w:color w:val="505A64"/>
          <w:sz w:val="17"/>
        </w:rPr>
        <w:t>Figura 5.7. Ejemplo real con tres líneas introducidas. La disposición corresponde a una revisión anterior compatible.</w:t>
      </w:r>
    </w:p>
    <w:p>
      <w:pPr>
        <w:pStyle w:val="BodyText"/>
      </w:pPr>
      <w:r>
        <w:t>En el ejemplo se observan tres líneas, sus unidades, PVP, precio, descuento, importe, IVA y total. Aunque la captura procede de una revisión anterior, el flujo funcional coincide: identificar cliente, introducir líneas, comprobar el total y totalizar.</w:t>
      </w:r>
    </w:p>
    <w:p>
      <w:pPr>
        <w:pStyle w:val="Heading2"/>
      </w:pPr>
      <w:r>
        <w:t>5.11 Devoluciones, anulaciones y rectificativas</w:t>
      </w:r>
    </w:p>
    <w:p>
      <w:pPr>
        <w:pStyle w:val="BodyText"/>
      </w:pPr>
      <w:r>
        <w:t>Las líneas negativas pueden activar el circuito rectificativo. El programa puede solicitar si el documento de origen es simplificado o normal, además de la serie, número y motivo. Estos datos no deben inventarse: deben corresponder al documento realmente corregido.</w:t>
      </w:r>
    </w:p>
    <w:p>
      <w:pPr>
        <w:pStyle w:val="ListBullet"/>
      </w:pPr>
      <w:r>
        <w:t>Una operación mixta con líneas positivas y negativas puede requerir separación documental.</w:t>
      </w:r>
    </w:p>
    <w:p>
      <w:pPr>
        <w:pStyle w:val="ListBullet"/>
      </w:pPr>
      <w:r>
        <w:t>Las rectificativas manuales sin histórico deben revisarse para evitar duplicidades.</w:t>
      </w:r>
    </w:p>
    <w:p>
      <w:pPr>
        <w:pStyle w:val="ListBullet"/>
      </w:pPr>
      <w:r>
        <w:t>La búsqueda del original puede exigir que el cliente coincida.</w:t>
      </w:r>
    </w:p>
    <w:p>
      <w:pPr>
        <w:pStyle w:val="ListBullet"/>
      </w:pPr>
      <w:r>
        <w:t>Tras emitirla, revise impresión, histórico, tablas rectificativas y cola VeriFactu.</w:t>
      </w:r>
    </w:p>
    <w:tbl>
      <w:tblPr>
        <w:tblW w:type="auto" w:w="0"/>
        <w:jc w:val="center"/>
        <w:tblLayout w:type="fixed"/>
        <w:tblLook w:firstColumn="1" w:firstRow="1" w:lastColumn="0" w:lastRow="0" w:noHBand="0" w:noVBand="1" w:val="04A0"/>
      </w:tblPr>
      <w:tblGrid>
        <w:gridCol w:w="4929"/>
        <w:gridCol w:w="4929"/>
      </w:tblGrid>
      <w:tr>
        <w:tc>
          <w:tcPr>
            <w:tcW w:type="dxa" w:w="520"/>
            <w:shd w:fill="B11D1D"/>
            <w:tcMar>
              <w:top w:w="110" w:type="dxa"/>
              <w:start w:w="70" w:type="dxa"/>
              <w:bottom w:w="110" w:type="dxa"/>
              <w:end w:w="70" w:type="dxa"/>
            </w:tcMar>
            <w:vAlign w:val="center"/>
          </w:tcPr>
          <w:p>
            <w:pPr>
              <w:jc w:val="center"/>
            </w:pPr>
            <w:r>
              <w:rPr>
                <w:b/>
                <w:color w:val="FFFFFF"/>
                <w:sz w:val="32"/>
              </w:rPr>
              <w:t>!</w:t>
            </w:r>
          </w:p>
        </w:tc>
        <w:tc>
          <w:tcPr>
            <w:tcW w:type="dxa" w:w="8500"/>
            <w:shd w:fill="FDEAEA"/>
            <w:tcMar>
              <w:top w:w="110" w:type="dxa"/>
              <w:start w:w="150" w:type="dxa"/>
              <w:bottom w:w="110" w:type="dxa"/>
              <w:end w:w="150" w:type="dxa"/>
            </w:tcMar>
            <w:vAlign w:val="center"/>
          </w:tcPr>
          <w:p>
            <w:r>
              <w:rPr>
                <w:b/>
                <w:color w:val="B11D1D"/>
              </w:rPr>
              <w:t xml:space="preserve">CASO EXCEPCIONAL: </w:t>
            </w:r>
            <w:r>
              <w:t>Si se intenta abonar como ticket un documento procedente de albarán, el sistema puede pedir serie y número de ticket. Detenga la operación y utilice el circuito documental correcto.</w:t>
            </w:r>
          </w:p>
        </w:tc>
      </w:tr>
    </w:tbl>
    <w:p>
      <w:pPr/>
    </w:p>
    <w:p>
      <w:pPr>
        <w:pStyle w:val="Heading2"/>
      </w:pPr>
      <w:r>
        <w:t>5.12 Atajos de teclado confirmados</w:t>
      </w:r>
    </w:p>
    <w:p>
      <w:pPr>
        <w:jc w:val="center"/>
      </w:pPr>
      <w:r>
        <w:drawing>
          <wp:inline xmlns:a="http://schemas.openxmlformats.org/drawingml/2006/main" xmlns:pic="http://schemas.openxmlformats.org/drawingml/2006/picture">
            <wp:extent cx="6144768" cy="455168"/>
            <wp:docPr id="8" name="Picture 8" descr="Barra inferior de Ventas con Ctrl+O, Ctrl+U, Ctrl+N, F5 a F12 y ESC." title="Figura 5.8. Barra inferior real de atajos de Ventas."/>
            <wp:cNvGraphicFramePr>
              <a:graphicFrameLocks noChangeAspect="1"/>
            </wp:cNvGraphicFramePr>
            <a:graphic>
              <a:graphicData uri="http://schemas.openxmlformats.org/drawingml/2006/picture">
                <pic:pic>
                  <pic:nvPicPr>
                    <pic:cNvPr id="0" name="05_barra_atajos.png"/>
                    <pic:cNvPicPr/>
                  </pic:nvPicPr>
                  <pic:blipFill>
                    <a:blip r:embed="rId20"/>
                    <a:stretch>
                      <a:fillRect/>
                    </a:stretch>
                  </pic:blipFill>
                  <pic:spPr>
                    <a:xfrm>
                      <a:off x="0" y="0"/>
                      <a:ext cx="6144768" cy="455168"/>
                    </a:xfrm>
                    <a:prstGeom prst="rect"/>
                  </pic:spPr>
                </pic:pic>
              </a:graphicData>
            </a:graphic>
          </wp:inline>
        </w:drawing>
      </w:r>
    </w:p>
    <w:p>
      <w:pPr>
        <w:pStyle w:val="BodyText"/>
        <w:spacing w:after="160"/>
        <w:jc w:val="center"/>
      </w:pPr>
      <w:r>
        <w:rPr>
          <w:i/>
          <w:color w:val="505A64"/>
          <w:sz w:val="17"/>
        </w:rPr>
        <w:t>Figura 5.8. Barra inferior real de atajos de Ventas.</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1800"/>
            <w:shd w:fill="0B4A70"/>
            <w:tcMar>
              <w:top w:w="100" w:type="dxa"/>
              <w:start w:w="100" w:type="dxa"/>
              <w:bottom w:w="100" w:type="dxa"/>
              <w:end w:w="100" w:type="dxa"/>
            </w:tcMar>
          </w:tcPr>
          <w:p>
            <w:pPr>
              <w:jc w:val="center"/>
            </w:pPr>
            <w:r>
              <w:rPr>
                <w:b/>
                <w:color w:val="FFFFFF"/>
                <w:sz w:val="18"/>
              </w:rPr>
              <w:t>Atajo</w:t>
            </w:r>
          </w:p>
        </w:tc>
        <w:tc>
          <w:tcPr>
            <w:tcW w:type="dxa" w:w="7200"/>
            <w:shd w:fill="0B4A70"/>
            <w:tcMar>
              <w:top w:w="100" w:type="dxa"/>
              <w:start w:w="100" w:type="dxa"/>
              <w:bottom w:w="100" w:type="dxa"/>
              <w:end w:w="100" w:type="dxa"/>
            </w:tcMar>
          </w:tcPr>
          <w:p>
            <w:pPr>
              <w:jc w:val="center"/>
            </w:pPr>
            <w:r>
              <w:rPr>
                <w:b/>
                <w:color w:val="FFFFFF"/>
                <w:sz w:val="18"/>
              </w:rPr>
              <w:t>Acción</w:t>
            </w:r>
          </w:p>
        </w:tc>
      </w:tr>
      <w:tr>
        <w:tc>
          <w:tcPr>
            <w:tcW w:type="dxa" w:w="1800"/>
            <w:tcMar>
              <w:top w:w="85" w:type="dxa"/>
              <w:start w:w="95" w:type="dxa"/>
              <w:bottom w:w="85" w:type="dxa"/>
              <w:end w:w="95" w:type="dxa"/>
            </w:tcMar>
          </w:tcPr>
          <w:p>
            <w:r>
              <w:rPr>
                <w:sz w:val="18"/>
              </w:rPr>
              <w:t>Ctrl+O</w:t>
            </w:r>
          </w:p>
        </w:tc>
        <w:tc>
          <w:tcPr>
            <w:tcW w:type="dxa" w:w="7200"/>
            <w:tcMar>
              <w:top w:w="85" w:type="dxa"/>
              <w:start w:w="95" w:type="dxa"/>
              <w:bottom w:w="85" w:type="dxa"/>
              <w:end w:w="95" w:type="dxa"/>
            </w:tcMar>
          </w:tcPr>
          <w:p>
            <w:r>
              <w:rPr>
                <w:sz w:val="18"/>
              </w:rPr>
              <w:t>Código de cliente.</w:t>
            </w:r>
          </w:p>
        </w:tc>
      </w:tr>
      <w:tr>
        <w:tc>
          <w:tcPr>
            <w:tcW w:type="dxa" w:w="1800"/>
            <w:tcMar>
              <w:top w:w="85" w:type="dxa"/>
              <w:start w:w="95" w:type="dxa"/>
              <w:bottom w:w="85" w:type="dxa"/>
              <w:end w:w="95" w:type="dxa"/>
            </w:tcMar>
            <w:shd w:fill="F1F6FA"/>
          </w:tcPr>
          <w:p>
            <w:r>
              <w:rPr>
                <w:sz w:val="18"/>
              </w:rPr>
              <w:t>Ctrl+U</w:t>
            </w:r>
          </w:p>
        </w:tc>
        <w:tc>
          <w:tcPr>
            <w:tcW w:type="dxa" w:w="7200"/>
            <w:tcMar>
              <w:top w:w="85" w:type="dxa"/>
              <w:start w:w="95" w:type="dxa"/>
              <w:bottom w:w="85" w:type="dxa"/>
              <w:end w:w="95" w:type="dxa"/>
            </w:tcMar>
            <w:shd w:fill="F1F6FA"/>
          </w:tcPr>
          <w:p>
            <w:r>
              <w:rPr>
                <w:sz w:val="18"/>
              </w:rPr>
              <w:t>Nombre o búsqueda de cliente.</w:t>
            </w:r>
          </w:p>
        </w:tc>
      </w:tr>
      <w:tr>
        <w:tc>
          <w:tcPr>
            <w:tcW w:type="dxa" w:w="1800"/>
            <w:tcMar>
              <w:top w:w="85" w:type="dxa"/>
              <w:start w:w="95" w:type="dxa"/>
              <w:bottom w:w="85" w:type="dxa"/>
              <w:end w:w="95" w:type="dxa"/>
            </w:tcMar>
          </w:tcPr>
          <w:p>
            <w:r>
              <w:rPr>
                <w:sz w:val="18"/>
              </w:rPr>
              <w:t>Ctrl+N</w:t>
            </w:r>
          </w:p>
        </w:tc>
        <w:tc>
          <w:tcPr>
            <w:tcW w:type="dxa" w:w="7200"/>
            <w:tcMar>
              <w:top w:w="85" w:type="dxa"/>
              <w:start w:w="95" w:type="dxa"/>
              <w:bottom w:w="85" w:type="dxa"/>
              <w:end w:w="95" w:type="dxa"/>
            </w:tcMar>
          </w:tcPr>
          <w:p>
            <w:r>
              <w:rPr>
                <w:sz w:val="18"/>
              </w:rPr>
              <w:t>Aceptar la línea / acción asociada a Nuevo en la revisión estable.</w:t>
            </w:r>
          </w:p>
        </w:tc>
      </w:tr>
      <w:tr>
        <w:tc>
          <w:tcPr>
            <w:tcW w:type="dxa" w:w="1800"/>
            <w:tcMar>
              <w:top w:w="85" w:type="dxa"/>
              <w:start w:w="95" w:type="dxa"/>
              <w:bottom w:w="85" w:type="dxa"/>
              <w:end w:w="95" w:type="dxa"/>
            </w:tcMar>
            <w:shd w:fill="F1F6FA"/>
          </w:tcPr>
          <w:p>
            <w:r>
              <w:rPr>
                <w:sz w:val="18"/>
              </w:rPr>
              <w:t>F5</w:t>
            </w:r>
          </w:p>
        </w:tc>
        <w:tc>
          <w:tcPr>
            <w:tcW w:type="dxa" w:w="7200"/>
            <w:tcMar>
              <w:top w:w="85" w:type="dxa"/>
              <w:start w:w="95" w:type="dxa"/>
              <w:bottom w:w="85" w:type="dxa"/>
              <w:end w:w="95" w:type="dxa"/>
            </w:tcMar>
            <w:shd w:fill="F1F6FA"/>
          </w:tcPr>
          <w:p>
            <w:r>
              <w:rPr>
                <w:sz w:val="18"/>
              </w:rPr>
              <w:t>Unidades.</w:t>
            </w:r>
          </w:p>
        </w:tc>
      </w:tr>
      <w:tr>
        <w:tc>
          <w:tcPr>
            <w:tcW w:type="dxa" w:w="1800"/>
            <w:tcMar>
              <w:top w:w="85" w:type="dxa"/>
              <w:start w:w="95" w:type="dxa"/>
              <w:bottom w:w="85" w:type="dxa"/>
              <w:end w:w="95" w:type="dxa"/>
            </w:tcMar>
          </w:tcPr>
          <w:p>
            <w:r>
              <w:rPr>
                <w:sz w:val="18"/>
              </w:rPr>
              <w:t>F6</w:t>
            </w:r>
          </w:p>
        </w:tc>
        <w:tc>
          <w:tcPr>
            <w:tcW w:type="dxa" w:w="7200"/>
            <w:tcMar>
              <w:top w:w="85" w:type="dxa"/>
              <w:start w:w="95" w:type="dxa"/>
              <w:bottom w:w="85" w:type="dxa"/>
              <w:end w:w="95" w:type="dxa"/>
            </w:tcMar>
          </w:tcPr>
          <w:p>
            <w:r>
              <w:rPr>
                <w:sz w:val="18"/>
              </w:rPr>
              <w:t>PVP + IVA.</w:t>
            </w:r>
          </w:p>
        </w:tc>
      </w:tr>
      <w:tr>
        <w:tc>
          <w:tcPr>
            <w:tcW w:type="dxa" w:w="1800"/>
            <w:tcMar>
              <w:top w:w="85" w:type="dxa"/>
              <w:start w:w="95" w:type="dxa"/>
              <w:bottom w:w="85" w:type="dxa"/>
              <w:end w:w="95" w:type="dxa"/>
            </w:tcMar>
            <w:shd w:fill="F1F6FA"/>
          </w:tcPr>
          <w:p>
            <w:r>
              <w:rPr>
                <w:sz w:val="18"/>
              </w:rPr>
              <w:t>F7</w:t>
            </w:r>
          </w:p>
        </w:tc>
        <w:tc>
          <w:tcPr>
            <w:tcW w:type="dxa" w:w="7200"/>
            <w:tcMar>
              <w:top w:w="85" w:type="dxa"/>
              <w:start w:w="95" w:type="dxa"/>
              <w:bottom w:w="85" w:type="dxa"/>
              <w:end w:w="95" w:type="dxa"/>
            </w:tcMar>
            <w:shd w:fill="F1F6FA"/>
          </w:tcPr>
          <w:p>
            <w:r>
              <w:rPr>
                <w:sz w:val="18"/>
              </w:rPr>
              <w:t>Total de línea.</w:t>
            </w:r>
          </w:p>
        </w:tc>
      </w:tr>
      <w:tr>
        <w:tc>
          <w:tcPr>
            <w:tcW w:type="dxa" w:w="1800"/>
            <w:tcMar>
              <w:top w:w="85" w:type="dxa"/>
              <w:start w:w="95" w:type="dxa"/>
              <w:bottom w:w="85" w:type="dxa"/>
              <w:end w:w="95" w:type="dxa"/>
            </w:tcMar>
          </w:tcPr>
          <w:p>
            <w:r>
              <w:rPr>
                <w:sz w:val="18"/>
              </w:rPr>
              <w:t>F8</w:t>
            </w:r>
          </w:p>
        </w:tc>
        <w:tc>
          <w:tcPr>
            <w:tcW w:type="dxa" w:w="7200"/>
            <w:tcMar>
              <w:top w:w="85" w:type="dxa"/>
              <w:start w:w="95" w:type="dxa"/>
              <w:bottom w:w="85" w:type="dxa"/>
              <w:end w:w="95" w:type="dxa"/>
            </w:tcMar>
          </w:tcPr>
          <w:p>
            <w:r>
              <w:rPr>
                <w:sz w:val="18"/>
              </w:rPr>
              <w:t>Totalizar.</w:t>
            </w:r>
          </w:p>
        </w:tc>
      </w:tr>
      <w:tr>
        <w:tc>
          <w:tcPr>
            <w:tcW w:type="dxa" w:w="1800"/>
            <w:tcMar>
              <w:top w:w="85" w:type="dxa"/>
              <w:start w:w="95" w:type="dxa"/>
              <w:bottom w:w="85" w:type="dxa"/>
              <w:end w:w="95" w:type="dxa"/>
            </w:tcMar>
            <w:shd w:fill="F1F6FA"/>
          </w:tcPr>
          <w:p>
            <w:r>
              <w:rPr>
                <w:sz w:val="18"/>
              </w:rPr>
              <w:t>F9</w:t>
            </w:r>
          </w:p>
        </w:tc>
        <w:tc>
          <w:tcPr>
            <w:tcW w:type="dxa" w:w="7200"/>
            <w:tcMar>
              <w:top w:w="85" w:type="dxa"/>
              <w:start w:w="95" w:type="dxa"/>
              <w:bottom w:w="85" w:type="dxa"/>
              <w:end w:w="95" w:type="dxa"/>
            </w:tcMar>
            <w:shd w:fill="F1F6FA"/>
          </w:tcPr>
          <w:p>
            <w:r>
              <w:rPr>
                <w:sz w:val="18"/>
              </w:rPr>
              <w:t>Ticket.</w:t>
            </w:r>
          </w:p>
        </w:tc>
      </w:tr>
      <w:tr>
        <w:tc>
          <w:tcPr>
            <w:tcW w:type="dxa" w:w="1800"/>
            <w:tcMar>
              <w:top w:w="85" w:type="dxa"/>
              <w:start w:w="95" w:type="dxa"/>
              <w:bottom w:w="85" w:type="dxa"/>
              <w:end w:w="95" w:type="dxa"/>
            </w:tcMar>
          </w:tcPr>
          <w:p>
            <w:r>
              <w:rPr>
                <w:sz w:val="18"/>
              </w:rPr>
              <w:t>F10</w:t>
            </w:r>
          </w:p>
        </w:tc>
        <w:tc>
          <w:tcPr>
            <w:tcW w:type="dxa" w:w="7200"/>
            <w:tcMar>
              <w:top w:w="85" w:type="dxa"/>
              <w:start w:w="95" w:type="dxa"/>
              <w:bottom w:w="85" w:type="dxa"/>
              <w:end w:w="95" w:type="dxa"/>
            </w:tcMar>
          </w:tcPr>
          <w:p>
            <w:r>
              <w:rPr>
                <w:sz w:val="18"/>
              </w:rPr>
              <w:t>Albarán.</w:t>
            </w:r>
          </w:p>
        </w:tc>
      </w:tr>
      <w:tr>
        <w:tc>
          <w:tcPr>
            <w:tcW w:type="dxa" w:w="1800"/>
            <w:tcMar>
              <w:top w:w="85" w:type="dxa"/>
              <w:start w:w="95" w:type="dxa"/>
              <w:bottom w:w="85" w:type="dxa"/>
              <w:end w:w="95" w:type="dxa"/>
            </w:tcMar>
            <w:shd w:fill="F1F6FA"/>
          </w:tcPr>
          <w:p>
            <w:r>
              <w:rPr>
                <w:sz w:val="18"/>
              </w:rPr>
              <w:t>F11</w:t>
            </w:r>
          </w:p>
        </w:tc>
        <w:tc>
          <w:tcPr>
            <w:tcW w:type="dxa" w:w="7200"/>
            <w:tcMar>
              <w:top w:w="85" w:type="dxa"/>
              <w:start w:w="95" w:type="dxa"/>
              <w:bottom w:w="85" w:type="dxa"/>
              <w:end w:w="95" w:type="dxa"/>
            </w:tcMar>
            <w:shd w:fill="F1F6FA"/>
          </w:tcPr>
          <w:p>
            <w:r>
              <w:rPr>
                <w:sz w:val="18"/>
              </w:rPr>
              <w:t>Factura / descuento según el contexto.</w:t>
            </w:r>
          </w:p>
        </w:tc>
      </w:tr>
      <w:tr>
        <w:tc>
          <w:tcPr>
            <w:tcW w:type="dxa" w:w="1800"/>
            <w:tcMar>
              <w:top w:w="85" w:type="dxa"/>
              <w:start w:w="95" w:type="dxa"/>
              <w:bottom w:w="85" w:type="dxa"/>
              <w:end w:w="95" w:type="dxa"/>
            </w:tcMar>
          </w:tcPr>
          <w:p>
            <w:r>
              <w:rPr>
                <w:sz w:val="18"/>
              </w:rPr>
              <w:t>F12</w:t>
            </w:r>
          </w:p>
        </w:tc>
        <w:tc>
          <w:tcPr>
            <w:tcW w:type="dxa" w:w="7200"/>
            <w:tcMar>
              <w:top w:w="85" w:type="dxa"/>
              <w:start w:w="95" w:type="dxa"/>
              <w:bottom w:w="85" w:type="dxa"/>
              <w:end w:w="95" w:type="dxa"/>
            </w:tcMar>
          </w:tcPr>
          <w:p>
            <w:r>
              <w:rPr>
                <w:sz w:val="18"/>
              </w:rPr>
              <w:t>Usuario.</w:t>
            </w:r>
          </w:p>
        </w:tc>
      </w:tr>
      <w:tr>
        <w:tc>
          <w:tcPr>
            <w:tcW w:type="dxa" w:w="1800"/>
            <w:tcMar>
              <w:top w:w="85" w:type="dxa"/>
              <w:start w:w="95" w:type="dxa"/>
              <w:bottom w:w="85" w:type="dxa"/>
              <w:end w:w="95" w:type="dxa"/>
            </w:tcMar>
            <w:shd w:fill="F1F6FA"/>
          </w:tcPr>
          <w:p>
            <w:r>
              <w:rPr>
                <w:sz w:val="18"/>
              </w:rPr>
              <w:t>ESC</w:t>
            </w:r>
          </w:p>
        </w:tc>
        <w:tc>
          <w:tcPr>
            <w:tcW w:type="dxa" w:w="7200"/>
            <w:tcMar>
              <w:top w:w="85" w:type="dxa"/>
              <w:start w:w="95" w:type="dxa"/>
              <w:bottom w:w="85" w:type="dxa"/>
              <w:end w:w="95" w:type="dxa"/>
            </w:tcMar>
            <w:shd w:fill="F1F6FA"/>
          </w:tcPr>
          <w:p>
            <w:r>
              <w:rPr>
                <w:sz w:val="18"/>
              </w:rPr>
              <w:t>Cerrar la pantalla principal; si hay un panel auxiliar, cancelarlo primero.</w:t>
            </w:r>
          </w:p>
        </w:tc>
      </w:tr>
    </w:tbl>
    <w:p>
      <w:pPr/>
    </w:p>
    <w:p>
      <w:pPr>
        <w:pStyle w:val="Heading2"/>
      </w:pPr>
      <w:r>
        <w:t>5.13 Flujo recomendado de una venta normal</w:t>
      </w:r>
    </w:p>
    <w:p>
      <w:pPr>
        <w:pStyle w:val="BodyText"/>
        <w:ind w:left="317" w:hanging="317"/>
      </w:pPr>
      <w:r>
        <w:rPr>
          <w:b/>
        </w:rPr>
        <w:t xml:space="preserve">1. </w:t>
      </w:r>
      <w:r>
        <w:t>Abra Ventas y compruebe fecha, serie, puesto, usuario, impresora y conexión.</w:t>
      </w:r>
    </w:p>
    <w:p>
      <w:pPr>
        <w:pStyle w:val="BodyText"/>
        <w:ind w:left="317" w:hanging="317"/>
      </w:pPr>
      <w:r>
        <w:rPr>
          <w:b/>
        </w:rPr>
        <w:t xml:space="preserve">2. </w:t>
      </w:r>
      <w:r>
        <w:t>Seleccione el cliente cuando la operación no sea de contado genérico.</w:t>
      </w:r>
    </w:p>
    <w:p>
      <w:pPr>
        <w:pStyle w:val="BodyText"/>
        <w:ind w:left="317" w:hanging="317"/>
      </w:pPr>
      <w:r>
        <w:rPr>
          <w:b/>
        </w:rPr>
        <w:t xml:space="preserve">3. </w:t>
      </w:r>
      <w:r>
        <w:t>Lea o escriba cada código y confirme descripción, cantidad, precio, descuento e IVA.</w:t>
      </w:r>
    </w:p>
    <w:p>
      <w:pPr>
        <w:pStyle w:val="BodyText"/>
        <w:ind w:left="317" w:hanging="317"/>
      </w:pPr>
      <w:r>
        <w:rPr>
          <w:b/>
        </w:rPr>
        <w:t xml:space="preserve">4. </w:t>
      </w:r>
      <w:r>
        <w:t>Revise las líneas y corrija cualquier error antes de cobrar.</w:t>
      </w:r>
    </w:p>
    <w:p>
      <w:pPr>
        <w:pStyle w:val="BodyText"/>
        <w:ind w:left="317" w:hanging="317"/>
      </w:pPr>
      <w:r>
        <w:rPr>
          <w:b/>
        </w:rPr>
        <w:t xml:space="preserve">5. </w:t>
      </w:r>
      <w:r>
        <w:t>Compruebe el total y pulse F8.</w:t>
      </w:r>
    </w:p>
    <w:p>
      <w:pPr>
        <w:pStyle w:val="BodyText"/>
        <w:ind w:left="317" w:hanging="317"/>
      </w:pPr>
      <w:r>
        <w:rPr>
          <w:b/>
        </w:rPr>
        <w:t xml:space="preserve">6. </w:t>
      </w:r>
      <w:r>
        <w:t>Seleccione la forma de pago, introduzca Entrega y revise Cambio.</w:t>
      </w:r>
    </w:p>
    <w:p>
      <w:pPr>
        <w:pStyle w:val="BodyText"/>
        <w:ind w:left="317" w:hanging="317"/>
      </w:pPr>
      <w:r>
        <w:rPr>
          <w:b/>
        </w:rPr>
        <w:t xml:space="preserve">7. </w:t>
      </w:r>
      <w:r>
        <w:t>Emita el documento correcto: ticket, albarán o factura.</w:t>
      </w:r>
    </w:p>
    <w:p>
      <w:pPr>
        <w:pStyle w:val="BodyText"/>
        <w:ind w:left="317" w:hanging="317"/>
      </w:pPr>
      <w:r>
        <w:rPr>
          <w:b/>
        </w:rPr>
        <w:t xml:space="preserve">8. </w:t>
      </w:r>
      <w:r>
        <w:t>Espere la confirmación final y compruebe impresión, PDF, correo o VeriFactu cuando proceda.</w:t>
      </w:r>
    </w:p>
    <w:p>
      <w:pPr>
        <w:pStyle w:val="Heading2"/>
      </w:pPr>
      <w:r>
        <w:t>5.14 Problemas habituales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200"/>
            <w:shd w:fill="0B4A70"/>
            <w:tcMar>
              <w:top w:w="100" w:type="dxa"/>
              <w:start w:w="100" w:type="dxa"/>
              <w:bottom w:w="100" w:type="dxa"/>
              <w:end w:w="100" w:type="dxa"/>
            </w:tcMar>
          </w:tcPr>
          <w:p>
            <w:pPr>
              <w:jc w:val="center"/>
            </w:pPr>
            <w:r>
              <w:rPr>
                <w:b/>
                <w:color w:val="FFFFFF"/>
                <w:sz w:val="18"/>
              </w:rPr>
              <w:t>Síntoma</w:t>
            </w:r>
          </w:p>
        </w:tc>
        <w:tc>
          <w:tcPr>
            <w:tcW w:type="dxa" w:w="3100"/>
            <w:shd w:fill="0B4A70"/>
            <w:tcMar>
              <w:top w:w="100" w:type="dxa"/>
              <w:start w:w="100" w:type="dxa"/>
              <w:bottom w:w="100" w:type="dxa"/>
              <w:end w:w="100" w:type="dxa"/>
            </w:tcMar>
          </w:tcPr>
          <w:p>
            <w:pPr>
              <w:jc w:val="center"/>
            </w:pPr>
            <w:r>
              <w:rPr>
                <w:b/>
                <w:color w:val="FFFFFF"/>
                <w:sz w:val="18"/>
              </w:rPr>
              <w:t>Comprobación</w:t>
            </w:r>
          </w:p>
        </w:tc>
        <w:tc>
          <w:tcPr>
            <w:tcW w:type="dxa" w:w="3700"/>
            <w:shd w:fill="0B4A70"/>
            <w:tcMar>
              <w:top w:w="100" w:type="dxa"/>
              <w:start w:w="100" w:type="dxa"/>
              <w:bottom w:w="100" w:type="dxa"/>
              <w:end w:w="100" w:type="dxa"/>
            </w:tcMar>
          </w:tcPr>
          <w:p>
            <w:pPr>
              <w:jc w:val="center"/>
            </w:pPr>
            <w:r>
              <w:rPr>
                <w:b/>
                <w:color w:val="FFFFFF"/>
                <w:sz w:val="18"/>
              </w:rPr>
              <w:t>Actuación segura</w:t>
            </w:r>
          </w:p>
        </w:tc>
      </w:tr>
      <w:tr>
        <w:tc>
          <w:tcPr>
            <w:tcW w:type="dxa" w:w="2200"/>
            <w:tcMar>
              <w:top w:w="85" w:type="dxa"/>
              <w:start w:w="95" w:type="dxa"/>
              <w:bottom w:w="85" w:type="dxa"/>
              <w:end w:w="95" w:type="dxa"/>
            </w:tcMar>
          </w:tcPr>
          <w:p>
            <w:r>
              <w:rPr>
                <w:sz w:val="18"/>
              </w:rPr>
              <w:t>No encuentra el cliente</w:t>
            </w:r>
          </w:p>
        </w:tc>
        <w:tc>
          <w:tcPr>
            <w:tcW w:type="dxa" w:w="3100"/>
            <w:tcMar>
              <w:top w:w="85" w:type="dxa"/>
              <w:start w:w="95" w:type="dxa"/>
              <w:bottom w:w="85" w:type="dxa"/>
              <w:end w:w="95" w:type="dxa"/>
            </w:tcMar>
          </w:tcPr>
          <w:p>
            <w:r>
              <w:rPr>
                <w:sz w:val="18"/>
              </w:rPr>
              <w:t>Código, nombre, NIF y filtros.</w:t>
            </w:r>
          </w:p>
        </w:tc>
        <w:tc>
          <w:tcPr>
            <w:tcW w:type="dxa" w:w="3700"/>
            <w:tcMar>
              <w:top w:w="85" w:type="dxa"/>
              <w:start w:w="95" w:type="dxa"/>
              <w:bottom w:w="85" w:type="dxa"/>
              <w:end w:w="95" w:type="dxa"/>
            </w:tcMar>
          </w:tcPr>
          <w:p>
            <w:r>
              <w:rPr>
                <w:sz w:val="18"/>
              </w:rPr>
              <w:t>Abra la búsqueda; si hay varias coincidencias, elija la correcta.</w:t>
            </w:r>
          </w:p>
        </w:tc>
      </w:tr>
      <w:tr>
        <w:tc>
          <w:tcPr>
            <w:tcW w:type="dxa" w:w="2200"/>
            <w:tcMar>
              <w:top w:w="85" w:type="dxa"/>
              <w:start w:w="95" w:type="dxa"/>
              <w:bottom w:w="85" w:type="dxa"/>
              <w:end w:w="95" w:type="dxa"/>
            </w:tcMar>
            <w:shd w:fill="F1F6FA"/>
          </w:tcPr>
          <w:p>
            <w:r>
              <w:rPr>
                <w:sz w:val="18"/>
              </w:rPr>
              <w:t>El artículo no aparece</w:t>
            </w:r>
          </w:p>
        </w:tc>
        <w:tc>
          <w:tcPr>
            <w:tcW w:type="dxa" w:w="3100"/>
            <w:tcMar>
              <w:top w:w="85" w:type="dxa"/>
              <w:start w:w="95" w:type="dxa"/>
              <w:bottom w:w="85" w:type="dxa"/>
              <w:end w:w="95" w:type="dxa"/>
            </w:tcMar>
            <w:shd w:fill="F1F6FA"/>
          </w:tcPr>
          <w:p>
            <w:r>
              <w:rPr>
                <w:sz w:val="18"/>
              </w:rPr>
              <w:t>Código/EAN, tienda y ficha del artículo.</w:t>
            </w:r>
          </w:p>
        </w:tc>
        <w:tc>
          <w:tcPr>
            <w:tcW w:type="dxa" w:w="3700"/>
            <w:tcMar>
              <w:top w:w="85" w:type="dxa"/>
              <w:start w:w="95" w:type="dxa"/>
              <w:bottom w:w="85" w:type="dxa"/>
              <w:end w:w="95" w:type="dxa"/>
            </w:tcMar>
            <w:shd w:fill="F1F6FA"/>
          </w:tcPr>
          <w:p>
            <w:r>
              <w:rPr>
                <w:sz w:val="18"/>
              </w:rPr>
              <w:t>Busque por descripción; no cree un código vario sin necesidad.</w:t>
            </w:r>
          </w:p>
        </w:tc>
      </w:tr>
      <w:tr>
        <w:tc>
          <w:tcPr>
            <w:tcW w:type="dxa" w:w="2200"/>
            <w:tcMar>
              <w:top w:w="85" w:type="dxa"/>
              <w:start w:w="95" w:type="dxa"/>
              <w:bottom w:w="85" w:type="dxa"/>
              <w:end w:w="95" w:type="dxa"/>
            </w:tcMar>
          </w:tcPr>
          <w:p>
            <w:r>
              <w:rPr>
                <w:sz w:val="18"/>
              </w:rPr>
              <w:t>Precio inesperado</w:t>
            </w:r>
          </w:p>
        </w:tc>
        <w:tc>
          <w:tcPr>
            <w:tcW w:type="dxa" w:w="3100"/>
            <w:tcMar>
              <w:top w:w="85" w:type="dxa"/>
              <w:start w:w="95" w:type="dxa"/>
              <w:bottom w:w="85" w:type="dxa"/>
              <w:end w:w="95" w:type="dxa"/>
            </w:tcMar>
          </w:tcPr>
          <w:p>
            <w:r>
              <w:rPr>
                <w:sz w:val="18"/>
              </w:rPr>
              <w:t>Tarifa, cliente, descuento, IVA y precio de coste.</w:t>
            </w:r>
          </w:p>
        </w:tc>
        <w:tc>
          <w:tcPr>
            <w:tcW w:type="dxa" w:w="3700"/>
            <w:tcMar>
              <w:top w:w="85" w:type="dxa"/>
              <w:start w:w="95" w:type="dxa"/>
              <w:bottom w:w="85" w:type="dxa"/>
              <w:end w:w="95" w:type="dxa"/>
            </w:tcMar>
          </w:tcPr>
          <w:p>
            <w:r>
              <w:rPr>
                <w:sz w:val="18"/>
              </w:rPr>
              <w:t>Detenga la venta y revise la ficha antes de totalizar.</w:t>
            </w:r>
          </w:p>
        </w:tc>
      </w:tr>
      <w:tr>
        <w:tc>
          <w:tcPr>
            <w:tcW w:type="dxa" w:w="2200"/>
            <w:tcMar>
              <w:top w:w="85" w:type="dxa"/>
              <w:start w:w="95" w:type="dxa"/>
              <w:bottom w:w="85" w:type="dxa"/>
              <w:end w:w="95" w:type="dxa"/>
            </w:tcMar>
            <w:shd w:fill="F1F6FA"/>
          </w:tcPr>
          <w:p>
            <w:r>
              <w:rPr>
                <w:sz w:val="18"/>
              </w:rPr>
              <w:t>Atajo Ctrl no actúa</w:t>
            </w:r>
          </w:p>
        </w:tc>
        <w:tc>
          <w:tcPr>
            <w:tcW w:type="dxa" w:w="3100"/>
            <w:tcMar>
              <w:top w:w="85" w:type="dxa"/>
              <w:start w:w="95" w:type="dxa"/>
              <w:bottom w:w="85" w:type="dxa"/>
              <w:end w:w="95" w:type="dxa"/>
            </w:tcMar>
            <w:shd w:fill="F1F6FA"/>
          </w:tcPr>
          <w:p>
            <w:r>
              <w:rPr>
                <w:sz w:val="18"/>
              </w:rPr>
              <w:t>Foco, paneles auxiliares y revisión estable.</w:t>
            </w:r>
          </w:p>
        </w:tc>
        <w:tc>
          <w:tcPr>
            <w:tcW w:type="dxa" w:w="3700"/>
            <w:tcMar>
              <w:top w:w="85" w:type="dxa"/>
              <w:start w:w="95" w:type="dxa"/>
              <w:bottom w:w="85" w:type="dxa"/>
              <w:end w:w="95" w:type="dxa"/>
            </w:tcMar>
            <w:shd w:fill="F1F6FA"/>
          </w:tcPr>
          <w:p>
            <w:r>
              <w:rPr>
                <w:sz w:val="18"/>
              </w:rPr>
              <w:t>Cierre el panel auxiliar y pruebe en la pantalla principal.</w:t>
            </w:r>
          </w:p>
        </w:tc>
      </w:tr>
      <w:tr>
        <w:tc>
          <w:tcPr>
            <w:tcW w:type="dxa" w:w="2200"/>
            <w:tcMar>
              <w:top w:w="85" w:type="dxa"/>
              <w:start w:w="95" w:type="dxa"/>
              <w:bottom w:w="85" w:type="dxa"/>
              <w:end w:w="95" w:type="dxa"/>
            </w:tcMar>
          </w:tcPr>
          <w:p>
            <w:r>
              <w:rPr>
                <w:sz w:val="18"/>
              </w:rPr>
              <w:t>Aviso de correo oculto</w:t>
            </w:r>
          </w:p>
        </w:tc>
        <w:tc>
          <w:tcPr>
            <w:tcW w:type="dxa" w:w="3100"/>
            <w:tcMar>
              <w:top w:w="85" w:type="dxa"/>
              <w:start w:w="95" w:type="dxa"/>
              <w:bottom w:w="85" w:type="dxa"/>
              <w:end w:w="95" w:type="dxa"/>
            </w:tcMar>
          </w:tcPr>
          <w:p>
            <w:r>
              <w:rPr>
                <w:sz w:val="18"/>
              </w:rPr>
              <w:t>Estado del proceso y posible superposición.</w:t>
            </w:r>
          </w:p>
        </w:tc>
        <w:tc>
          <w:tcPr>
            <w:tcW w:type="dxa" w:w="3700"/>
            <w:tcMar>
              <w:top w:w="85" w:type="dxa"/>
              <w:start w:w="95" w:type="dxa"/>
              <w:bottom w:w="85" w:type="dxa"/>
              <w:end w:w="95" w:type="dxa"/>
            </w:tcMar>
          </w:tcPr>
          <w:p>
            <w:r>
              <w:rPr>
                <w:sz w:val="18"/>
              </w:rPr>
              <w:t>No reenvíe hasta confirmar si el correo ya salió.</w:t>
            </w:r>
          </w:p>
        </w:tc>
      </w:tr>
      <w:tr>
        <w:tc>
          <w:tcPr>
            <w:tcW w:type="dxa" w:w="2200"/>
            <w:tcMar>
              <w:top w:w="85" w:type="dxa"/>
              <w:start w:w="95" w:type="dxa"/>
              <w:bottom w:w="85" w:type="dxa"/>
              <w:end w:w="95" w:type="dxa"/>
            </w:tcMar>
            <w:shd w:fill="F1F6FA"/>
          </w:tcPr>
          <w:p>
            <w:r>
              <w:rPr>
                <w:sz w:val="18"/>
              </w:rPr>
              <w:t>Pide serie/número incorrectos</w:t>
            </w:r>
          </w:p>
        </w:tc>
        <w:tc>
          <w:tcPr>
            <w:tcW w:type="dxa" w:w="3100"/>
            <w:tcMar>
              <w:top w:w="85" w:type="dxa"/>
              <w:start w:w="95" w:type="dxa"/>
              <w:bottom w:w="85" w:type="dxa"/>
              <w:end w:w="95" w:type="dxa"/>
            </w:tcMar>
            <w:shd w:fill="F1F6FA"/>
          </w:tcPr>
          <w:p>
            <w:r>
              <w:rPr>
                <w:sz w:val="18"/>
              </w:rPr>
              <w:t>Tipo de documento de origen.</w:t>
            </w:r>
          </w:p>
        </w:tc>
        <w:tc>
          <w:tcPr>
            <w:tcW w:type="dxa" w:w="3700"/>
            <w:tcMar>
              <w:top w:w="85" w:type="dxa"/>
              <w:start w:w="95" w:type="dxa"/>
              <w:bottom w:w="85" w:type="dxa"/>
              <w:end w:w="95" w:type="dxa"/>
            </w:tcMar>
            <w:shd w:fill="F1F6FA"/>
          </w:tcPr>
          <w:p>
            <w:r>
              <w:rPr>
                <w:sz w:val="18"/>
              </w:rPr>
              <w:t>Abandone el abono y use el circuito de albarán, ticket o factura adecuado.</w:t>
            </w:r>
          </w:p>
        </w:tc>
      </w:tr>
    </w:tbl>
    <w:p>
      <w:pPr/>
    </w:p>
    <w:p>
      <w:pPr>
        <w:pStyle w:val="Heading2"/>
      </w:pPr>
      <w:r>
        <w:t>5.15 Lista final de comprobación</w:t>
      </w:r>
    </w:p>
    <w:tbl>
      <w:tblPr>
        <w:tblW w:type="auto" w:w="0"/>
        <w:jc w:val="center"/>
        <w:tblLayout w:type="fixed"/>
        <w:tblLook w:firstColumn="1" w:firstRow="1" w:lastColumn="0" w:lastRow="0" w:noHBand="0" w:noVBand="1" w:val="04A0"/>
      </w:tblPr>
      <w:tblGrid>
        <w:gridCol w:w="4929"/>
        <w:gridCol w:w="4929"/>
      </w:tblGrid>
      <w:t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Cliente correcto y datos fiscales completos cuando son necesarios.</w:t>
            </w:r>
          </w:p>
        </w:tc>
      </w:tr>
      <w:t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Artículos, cantidades, precios y descuentos correctos.</w:t>
            </w:r>
          </w:p>
        </w:tc>
      </w:tr>
      <w:t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IVA e importes coherentes; total de líneas igual al total de la venta.</w:t>
            </w:r>
          </w:p>
        </w:tc>
      </w:tr>
      <w:t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Forma de pago, entrega y cambio correctos.</w:t>
            </w:r>
          </w:p>
        </w:tc>
      </w:tr>
      <w:t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Serie, puesto, usuario y tipo documental adecuados.</w:t>
            </w:r>
          </w:p>
        </w:tc>
      </w:tr>
      <w:t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Documento impreso o PDF legible; correo confirmado si se ha utilizado.</w:t>
            </w:r>
          </w:p>
        </w:tc>
      </w:tr>
      <w:t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Histórico y créditos actualizados cuando proceda.</w:t>
            </w:r>
          </w:p>
        </w:tc>
      </w:tr>
      <w:t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Cola VeriFactu revisada para documentos sujetos al sistema.</w:t>
            </w:r>
          </w:p>
        </w:tc>
      </w:tr>
    </w:tbl>
    <w:p>
      <w:pPr/>
    </w:p>
    <w:tbl>
      <w:tblPr>
        <w:tblW w:type="auto" w:w="0"/>
        <w:jc w:val="center"/>
        <w:tblLayout w:type="fixed"/>
        <w:tblLook w:firstColumn="1" w:firstRow="1" w:lastColumn="0" w:lastRow="0" w:noHBand="0" w:noVBand="1" w:val="04A0"/>
      </w:tblPr>
      <w:tblGrid>
        <w:gridCol w:w="4929"/>
        <w:gridCol w:w="4929"/>
      </w:tblGrid>
      <w:tr>
        <w:tc>
          <w:tcPr>
            <w:tcW w:type="dxa" w:w="520"/>
            <w:shd w:fill="16834B"/>
            <w:tcMar>
              <w:top w:w="110" w:type="dxa"/>
              <w:start w:w="70" w:type="dxa"/>
              <w:bottom w:w="110" w:type="dxa"/>
              <w:end w:w="70" w:type="dxa"/>
            </w:tcMar>
            <w:vAlign w:val="center"/>
          </w:tcPr>
          <w:p>
            <w:pPr>
              <w:jc w:val="center"/>
            </w:pPr>
            <w:r>
              <w:rPr>
                <w:b/>
                <w:color w:val="FFFFFF"/>
                <w:sz w:val="32"/>
              </w:rPr>
              <w:t>✓</w:t>
            </w:r>
          </w:p>
        </w:tc>
        <w:tc>
          <w:tcPr>
            <w:tcW w:type="dxa" w:w="8500"/>
            <w:shd w:fill="E8F7EE"/>
            <w:tcMar>
              <w:top w:w="110" w:type="dxa"/>
              <w:start w:w="150" w:type="dxa"/>
              <w:bottom w:w="110" w:type="dxa"/>
              <w:end w:w="150" w:type="dxa"/>
            </w:tcMar>
            <w:vAlign w:val="center"/>
          </w:tcPr>
          <w:p>
            <w:r>
              <w:rPr>
                <w:b/>
                <w:color w:val="16834B"/>
              </w:rPr>
              <w:t xml:space="preserve">CIERRE SEGURO: </w:t>
            </w:r>
            <w:r>
              <w:t>En la pantalla principal, ESC debe ejecutar la misma acción que Cerrar. Si existe un panel, diálogo, teclado o edición pendiente, ESC debe cancelar primero ese elemento.</w:t>
            </w:r>
          </w:p>
        </w:tc>
      </w:tr>
    </w:tbl>
    <w:p>
      <w:pPr/>
    </w:p>
    <w:p>
      <w:bookmarkStart w:id="8" w:name="cap6"/>
      <w:pPr>
        <w:pStyle w:val="Heading1"/>
        <w:keepNext/>
      </w:pPr>
      <w:r>
        <w:t>6. Caja, cobros y créditos</w:t>
      </w:r>
      <w:bookmarkEnd w:id="8"/>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ESTADO: </w:t>
            </w:r>
            <w:r>
              <w:rPr>
                <w:rFonts w:ascii="Carlito" w:hAnsi="Carlito" w:eastAsia="Carlito"/>
                <w:color w:val="000000"/>
                <w:sz w:val="19"/>
              </w:rPr>
              <w:t>Caja e informe de IVA por períodos validados. El módulo Créditos está modernizado, con algunos comportamientos todavía sensibles.</w:t>
            </w:r>
          </w:p>
        </w:tc>
      </w:tr>
    </w:tbl>
    <w:p>
      <w:pPr>
        <w:spacing w:after="20"/>
      </w:pPr>
    </w:p>
    <w:p>
      <w:pPr>
        <w:pStyle w:val="Heading2"/>
        <w:keepNext/>
      </w:pPr>
      <w:r>
        <w:t>6.1 Apertura, movimientos y cierre</w:t>
      </w:r>
    </w:p>
    <w:p>
      <w:pPr>
        <w:pStyle w:val="BodyText"/>
        <w:keepLines w:val="0"/>
        <w:spacing w:after="100" w:line="259" w:lineRule="auto"/>
        <w:ind w:left="0"/>
      </w:pPr>
      <w:r>
        <w:rPr>
          <w:rFonts w:ascii="Carlito" w:hAnsi="Carlito" w:eastAsia="Carlito"/>
          <w:i w:val="0"/>
          <w:sz w:val="21"/>
        </w:rPr>
        <w:t>La gestión de caja debe reflejar cobros, pagos, ingresos, retiradas y arqueos. Los importes negativos deben visualizarse con signo menos y color diferenciado, sin impedir su registro cuando sean válidos.</w:t>
      </w:r>
    </w:p>
    <w:tbl>
      <w:tblPr>
        <w:tblW w:type="auto" w:w="0"/>
        <w:jc w:val="center"/>
        <w:tblLayout w:type="fixed"/>
        <w:tblLook w:firstColumn="1" w:firstRow="1" w:lastColumn="0" w:lastRow="0" w:noHBand="0" w:noVBand="1" w:val="04A0"/>
      </w:tblPr>
      <w:tblGrid>
        <w:gridCol w:w="4929"/>
        <w:gridCol w:w="4929"/>
      </w:tblGrid>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Saldo inicial correcto.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Movimientos del día completos.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Pagos e ingresos con concepto identificable.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Efectivo contado y comparado con el saldo teórico.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Diferencias justificadas.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Cierre o arqueo guardado e impreso cuando proceda.</w:t>
            </w:r>
          </w:p>
        </w:tc>
      </w:tr>
    </w:tbl>
    <w:p>
      <w:pPr>
        <w:spacing w:after="40"/>
      </w:pPr>
    </w:p>
    <w:p>
      <w:pPr>
        <w:pStyle w:val="Heading2"/>
        <w:keepNext/>
      </w:pPr>
      <w:r>
        <w:t>6.2 Créditos de clientes</w:t>
      </w:r>
    </w:p>
    <w:p>
      <w:pPr>
        <w:pStyle w:val="BodyText"/>
        <w:keepLines w:val="0"/>
        <w:spacing w:after="100" w:line="259" w:lineRule="auto"/>
        <w:ind w:left="0"/>
      </w:pPr>
      <w:r>
        <w:rPr>
          <w:rFonts w:ascii="Carlito" w:hAnsi="Carlito" w:eastAsia="Carlito"/>
          <w:i w:val="0"/>
          <w:sz w:val="21"/>
        </w:rPr>
        <w:t>El módulo Créditos permite registrar importes pendientes y saldarlos posteriormente. La selección debe ser legible y el cuadro de totales debe destacar claramente.</w:t>
      </w:r>
    </w:p>
    <w:p>
      <w:pPr>
        <w:pStyle w:val="ListBullet"/>
        <w:spacing w:after="40" w:line="240" w:lineRule="auto"/>
      </w:pPr>
      <w:r>
        <w:rPr>
          <w:rFonts w:ascii="Carlito" w:hAnsi="Carlito" w:eastAsia="Carlito"/>
          <w:sz w:val="20"/>
        </w:rPr>
        <w:t>Para borrar una línea, seleccionarla antes y utilizar el botón Borrar.</w:t>
      </w:r>
    </w:p>
    <w:p>
      <w:pPr>
        <w:pStyle w:val="ListBullet"/>
        <w:spacing w:after="40" w:line="240" w:lineRule="auto"/>
      </w:pPr>
      <w:r>
        <w:rPr>
          <w:rFonts w:ascii="Carlito" w:hAnsi="Carlito" w:eastAsia="Carlito"/>
          <w:sz w:val="20"/>
        </w:rPr>
        <w:t>La operación de borrado debe comprobar que la línea es la correcta y puede requerir confirmación.</w:t>
      </w:r>
    </w:p>
    <w:p>
      <w:pPr>
        <w:pStyle w:val="ListBullet"/>
        <w:spacing w:after="40" w:line="240" w:lineRule="auto"/>
      </w:pPr>
      <w:r>
        <w:rPr>
          <w:rFonts w:ascii="Carlito" w:hAnsi="Carlito" w:eastAsia="Carlito"/>
          <w:sz w:val="20"/>
        </w:rPr>
        <w:t>Saldar debe considerar el origen del crédito: albarán, ticket o factura.</w:t>
      </w:r>
    </w:p>
    <w:p>
      <w:pPr>
        <w:pStyle w:val="ListBullet"/>
        <w:spacing w:after="40" w:line="240" w:lineRule="auto"/>
      </w:pPr>
      <w:r>
        <w:rPr>
          <w:rFonts w:ascii="Carlito" w:hAnsi="Carlito" w:eastAsia="Carlito"/>
          <w:sz w:val="20"/>
        </w:rPr>
        <w:t>El selector de series debe mostrar texto con contraste suficiente.</w:t>
      </w: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HISTÓRICO: </w:t>
            </w:r>
            <w:r>
              <w:rPr>
                <w:rFonts w:ascii="Carlito" w:hAnsi="Carlito" w:eastAsia="Carlito"/>
                <w:color w:val="000000"/>
                <w:sz w:val="19"/>
              </w:rPr>
              <w:t>Las correcciones del pago no deben perder el control de los datos importados desde el histórico. Si el origen es un albarán, no debe exigirse una serie de ticket inexistente.</w:t>
            </w:r>
          </w:p>
        </w:tc>
      </w:tr>
    </w:tbl>
    <w:p>
      <w:pPr>
        <w:spacing w:after="20"/>
      </w:pPr>
    </w:p>
    <w:p>
      <w:pPr>
        <w:pStyle w:val="Heading2"/>
        <w:keepNext/>
      </w:pPr>
      <w:r>
        <w:t>6.3 Informe de IVA por períodos</w:t>
      </w:r>
    </w:p>
    <w:p>
      <w:pPr>
        <w:pStyle w:val="BodyText"/>
        <w:keepLines w:val="0"/>
        <w:spacing w:after="100" w:line="259" w:lineRule="auto"/>
        <w:ind w:left="0"/>
      </w:pPr>
      <w:r>
        <w:rPr>
          <w:rFonts w:ascii="Carlito" w:hAnsi="Carlito" w:eastAsia="Carlito"/>
          <w:i w:val="0"/>
          <w:sz w:val="21"/>
        </w:rPr>
        <w:t>El informe de IVA permite seleccionar mes, trimestre, año o un período libre. Puede obtenerse por puesto o de forma global, utilizando los datos de caja del período.</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Abrir el informe de IVA por períodos.</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Seleccionar el tipo de período.</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Indicar fechas, tienda o puesto cuando corresponda.</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Generar el PDF y abrir la previsualización.</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Comprobar bases, cuotas, tipos de IVA y totales.</w:t>
      </w: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VALIDADO: </w:t>
            </w:r>
            <w:r>
              <w:rPr>
                <w:rFonts w:ascii="Carlito" w:hAnsi="Carlito" w:eastAsia="Carlito"/>
                <w:color w:val="000000"/>
                <w:sz w:val="19"/>
              </w:rPr>
              <w:t>La generación directa de PDF con previsualización fue comprobada como correcta.</w:t>
            </w:r>
          </w:p>
        </w:tc>
      </w:tr>
    </w:tbl>
    <w:p>
      <w:pPr>
        <w:spacing w:after="20"/>
      </w:pPr>
    </w:p>
    <w:p>
      <w:pPr>
        <w:pStyle w:val="Heading2"/>
        <w:keepNext/>
      </w:pPr>
      <w:r>
        <w:t>6.4 Errores frecuentes</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3798"/>
            <w:shd w:fill="1F4E78"/>
            <w:vAlign w:val="center"/>
          </w:tcPr>
          <w:p>
            <w:r>
              <w:rPr>
                <w:rFonts w:ascii="Carlito" w:hAnsi="Carlito" w:eastAsia="Carlito"/>
                <w:b/>
                <w:color w:val="FFFFFF"/>
                <w:sz w:val="18"/>
              </w:rPr>
              <w:t>Síntoma</w:t>
            </w:r>
          </w:p>
        </w:tc>
        <w:tc>
          <w:tcPr>
            <w:tcW w:type="dxa" w:w="5556"/>
            <w:shd w:fill="1F4E78"/>
            <w:vAlign w:val="center"/>
          </w:tcPr>
          <w:p>
            <w:r>
              <w:rPr>
                <w:rFonts w:ascii="Carlito" w:hAnsi="Carlito" w:eastAsia="Carlito"/>
                <w:b/>
                <w:color w:val="FFFFFF"/>
                <w:sz w:val="18"/>
              </w:rPr>
              <w:t>Comprobación</w:t>
            </w:r>
          </w:p>
        </w:tc>
      </w:tr>
      <w:tr>
        <w:trPr>
          <w:cantSplit/>
        </w:trPr>
        <w:tc>
          <w:tcPr>
            <w:tcW w:type="dxa" w:w="3798"/>
            <w:vAlign w:val="center"/>
          </w:tcPr>
          <w:p>
            <w:r>
              <w:rPr>
                <w:rFonts w:ascii="Carlito" w:hAnsi="Carlito" w:eastAsia="Carlito"/>
                <w:sz w:val="18"/>
              </w:rPr>
              <w:t>No se borra un crédito</w:t>
            </w:r>
          </w:p>
        </w:tc>
        <w:tc>
          <w:tcPr>
            <w:tcW w:type="dxa" w:w="5556"/>
            <w:vAlign w:val="center"/>
          </w:tcPr>
          <w:p>
            <w:r>
              <w:rPr>
                <w:rFonts w:ascii="Carlito" w:hAnsi="Carlito" w:eastAsia="Carlito"/>
                <w:sz w:val="18"/>
              </w:rPr>
              <w:t>Seleccionar la línea, revisar el botón Borrar y confirmar permisos.</w:t>
            </w:r>
          </w:p>
        </w:tc>
      </w:tr>
      <w:tr>
        <w:trPr>
          <w:cantSplit/>
        </w:trPr>
        <w:tc>
          <w:tcPr>
            <w:tcW w:type="dxa" w:w="3798"/>
            <w:shd w:fill="F2F2F2"/>
            <w:vAlign w:val="center"/>
          </w:tcPr>
          <w:p>
            <w:r>
              <w:rPr>
                <w:rFonts w:ascii="Carlito" w:hAnsi="Carlito" w:eastAsia="Carlito"/>
                <w:sz w:val="18"/>
              </w:rPr>
              <w:t>Pide serie y número al abonar un albarán</w:t>
            </w:r>
          </w:p>
        </w:tc>
        <w:tc>
          <w:tcPr>
            <w:tcW w:type="dxa" w:w="5556"/>
            <w:shd w:fill="F2F2F2"/>
            <w:vAlign w:val="center"/>
          </w:tcPr>
          <w:p>
            <w:r>
              <w:rPr>
                <w:rFonts w:ascii="Carlito" w:hAnsi="Carlito" w:eastAsia="Carlito"/>
                <w:sz w:val="18"/>
              </w:rPr>
              <w:t>Verificar que no se está tratando el albarán como ticket.</w:t>
            </w:r>
          </w:p>
        </w:tc>
      </w:tr>
      <w:tr>
        <w:trPr>
          <w:cantSplit/>
        </w:trPr>
        <w:tc>
          <w:tcPr>
            <w:tcW w:type="dxa" w:w="3798"/>
            <w:vAlign w:val="center"/>
          </w:tcPr>
          <w:p>
            <w:r>
              <w:rPr>
                <w:rFonts w:ascii="Carlito" w:hAnsi="Carlito" w:eastAsia="Carlito"/>
                <w:sz w:val="18"/>
              </w:rPr>
              <w:t>Totales poco visibles</w:t>
            </w:r>
          </w:p>
        </w:tc>
        <w:tc>
          <w:tcPr>
            <w:tcW w:type="dxa" w:w="5556"/>
            <w:vAlign w:val="center"/>
          </w:tcPr>
          <w:p>
            <w:r>
              <w:rPr>
                <w:rFonts w:ascii="Carlito" w:hAnsi="Carlito" w:eastAsia="Carlito"/>
                <w:sz w:val="18"/>
              </w:rPr>
              <w:t>Comprobar versión del formulario y contraste de la fila seleccionada.</w:t>
            </w:r>
          </w:p>
        </w:tc>
      </w:tr>
      <w:tr>
        <w:trPr>
          <w:cantSplit/>
        </w:trPr>
        <w:tc>
          <w:tcPr>
            <w:tcW w:type="dxa" w:w="3798"/>
            <w:shd w:fill="F2F2F2"/>
            <w:vAlign w:val="center"/>
          </w:tcPr>
          <w:p>
            <w:r>
              <w:rPr>
                <w:rFonts w:ascii="Carlito" w:hAnsi="Carlito" w:eastAsia="Carlito"/>
                <w:sz w:val="18"/>
              </w:rPr>
              <w:t>Importe negativo sin signo</w:t>
            </w:r>
          </w:p>
        </w:tc>
        <w:tc>
          <w:tcPr>
            <w:tcW w:type="dxa" w:w="5556"/>
            <w:shd w:fill="F2F2F2"/>
            <w:vAlign w:val="center"/>
          </w:tcPr>
          <w:p>
            <w:r>
              <w:rPr>
                <w:rFonts w:ascii="Carlito" w:hAnsi="Carlito" w:eastAsia="Carlito"/>
                <w:sz w:val="18"/>
              </w:rPr>
              <w:t>Revisar formato y evento de dibujo del grid.</w:t>
            </w:r>
          </w:p>
        </w:tc>
      </w:tr>
    </w:tbl>
    <w:p>
      <w:pPr>
        <w:spacing w:after="40"/>
      </w:pPr>
    </w:p>
    <w:p>
      <w:bookmarkStart w:id="9" w:name="cap7"/>
      <w:pPr>
        <w:pStyle w:val="Heading1"/>
        <w:keepNext/>
      </w:pPr>
      <w:r>
        <w:t>7. Compras, pedidos y existencias</w:t>
      </w:r>
      <w:bookmarkEnd w:id="9"/>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ESTADO: </w:t>
            </w:r>
            <w:r>
              <w:rPr>
                <w:rFonts w:ascii="Carlito" w:hAnsi="Carlito" w:eastAsia="Carlito"/>
                <w:color w:val="000000"/>
                <w:sz w:val="19"/>
              </w:rPr>
              <w:t>Pedido automático por proveedor en versión final provisional para pruebas reales.</w:t>
            </w:r>
          </w:p>
        </w:tc>
      </w:tr>
    </w:tbl>
    <w:p>
      <w:pPr>
        <w:spacing w:after="20"/>
      </w:pPr>
    </w:p>
    <w:p>
      <w:pPr>
        <w:pStyle w:val="Heading2"/>
        <w:keepNext/>
      </w:pPr>
      <w:r>
        <w:t>7.1 Pedidos a proveedores</w:t>
      </w:r>
    </w:p>
    <w:p>
      <w:pPr>
        <w:pStyle w:val="BodyText"/>
        <w:keepLines w:val="0"/>
        <w:spacing w:after="100" w:line="259" w:lineRule="auto"/>
        <w:ind w:left="0"/>
      </w:pPr>
      <w:r>
        <w:rPr>
          <w:rFonts w:ascii="Carlito" w:hAnsi="Carlito" w:eastAsia="Carlito"/>
          <w:i w:val="0"/>
          <w:sz w:val="21"/>
        </w:rPr>
        <w:t>Los pedidos reúnen artículos, cantidades, proveedor y condiciones de compra. Antes de generar un pedido real debe revisarse que los códigos, unidades y proveedor sean correctos.</w:t>
      </w:r>
    </w:p>
    <w:p>
      <w:pPr>
        <w:pStyle w:val="Heading2"/>
        <w:keepNext/>
      </w:pPr>
      <w:r>
        <w:t>7.2 Pedido automático por proveedor</w:t>
      </w:r>
    </w:p>
    <w:p>
      <w:pPr>
        <w:pStyle w:val="BodyText"/>
        <w:keepLines w:val="0"/>
        <w:spacing w:after="100" w:line="259" w:lineRule="auto"/>
        <w:ind w:left="0"/>
      </w:pPr>
      <w:r>
        <w:rPr>
          <w:rFonts w:ascii="Carlito" w:hAnsi="Carlito" w:eastAsia="Carlito"/>
          <w:i w:val="0"/>
          <w:sz w:val="21"/>
        </w:rPr>
        <w:t>El pedido sugerido se calcula principalmente a partir de las ventas, dado que las existencias pueden no ser totalmente fiables. El cálculo utiliza días de ventas, días de cobertura y stock disponible.</w:t>
      </w:r>
    </w:p>
    <w:p>
      <w:pPr>
        <w:pStyle w:val="BodyText"/>
        <w:keepLines w:val="0"/>
        <w:spacing w:after="100" w:line="259" w:lineRule="auto"/>
        <w:ind w:left="0"/>
      </w:pPr>
      <w:r>
        <w:rPr>
          <w:rFonts w:ascii="Carlito" w:hAnsi="Carlito" w:eastAsia="Carlito"/>
          <w:i w:val="0"/>
          <w:sz w:val="21"/>
        </w:rPr>
        <w:t>Fórmula orientativa: promedio diario de ventas x días de cobertura - stock actual. El resultado debe revisarse antes de convertirlo en pedido real.</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438"/>
            <w:shd w:fill="1F4E78"/>
            <w:vAlign w:val="center"/>
          </w:tcPr>
          <w:p>
            <w:r>
              <w:rPr>
                <w:rFonts w:ascii="Carlito" w:hAnsi="Carlito" w:eastAsia="Carlito"/>
                <w:b/>
                <w:color w:val="FFFFFF"/>
                <w:sz w:val="18"/>
              </w:rPr>
              <w:t>Parámetro</w:t>
            </w:r>
          </w:p>
        </w:tc>
        <w:tc>
          <w:tcPr>
            <w:tcW w:type="dxa" w:w="6917"/>
            <w:shd w:fill="1F4E78"/>
            <w:vAlign w:val="center"/>
          </w:tcPr>
          <w:p>
            <w:r>
              <w:rPr>
                <w:rFonts w:ascii="Carlito" w:hAnsi="Carlito" w:eastAsia="Carlito"/>
                <w:b/>
                <w:color w:val="FFFFFF"/>
                <w:sz w:val="18"/>
              </w:rPr>
              <w:t>Descripción</w:t>
            </w:r>
          </w:p>
        </w:tc>
      </w:tr>
      <w:tr>
        <w:trPr>
          <w:cantSplit/>
        </w:trPr>
        <w:tc>
          <w:tcPr>
            <w:tcW w:type="dxa" w:w="2438"/>
            <w:vAlign w:val="center"/>
          </w:tcPr>
          <w:p>
            <w:r>
              <w:rPr>
                <w:rFonts w:ascii="Carlito" w:hAnsi="Carlito" w:eastAsia="Carlito"/>
                <w:sz w:val="18"/>
              </w:rPr>
              <w:t>Días de ventas</w:t>
            </w:r>
          </w:p>
        </w:tc>
        <w:tc>
          <w:tcPr>
            <w:tcW w:type="dxa" w:w="6917"/>
            <w:vAlign w:val="center"/>
          </w:tcPr>
          <w:p>
            <w:r>
              <w:rPr>
                <w:rFonts w:ascii="Carlito" w:hAnsi="Carlito" w:eastAsia="Carlito"/>
                <w:sz w:val="18"/>
              </w:rPr>
              <w:t>Período histórico utilizado para calcular el consumo medio.</w:t>
            </w:r>
          </w:p>
        </w:tc>
      </w:tr>
      <w:tr>
        <w:trPr>
          <w:cantSplit/>
        </w:trPr>
        <w:tc>
          <w:tcPr>
            <w:tcW w:type="dxa" w:w="2438"/>
            <w:shd w:fill="F2F2F2"/>
            <w:vAlign w:val="center"/>
          </w:tcPr>
          <w:p>
            <w:r>
              <w:rPr>
                <w:rFonts w:ascii="Carlito" w:hAnsi="Carlito" w:eastAsia="Carlito"/>
                <w:sz w:val="18"/>
              </w:rPr>
              <w:t>Días de cobertura</w:t>
            </w:r>
          </w:p>
        </w:tc>
        <w:tc>
          <w:tcPr>
            <w:tcW w:type="dxa" w:w="6917"/>
            <w:shd w:fill="F2F2F2"/>
            <w:vAlign w:val="center"/>
          </w:tcPr>
          <w:p>
            <w:r>
              <w:rPr>
                <w:rFonts w:ascii="Carlito" w:hAnsi="Carlito" w:eastAsia="Carlito"/>
                <w:sz w:val="18"/>
              </w:rPr>
              <w:t>Número de días que se desea cubrir con el pedido.</w:t>
            </w:r>
          </w:p>
        </w:tc>
      </w:tr>
      <w:tr>
        <w:trPr>
          <w:cantSplit/>
        </w:trPr>
        <w:tc>
          <w:tcPr>
            <w:tcW w:type="dxa" w:w="2438"/>
            <w:vAlign w:val="center"/>
          </w:tcPr>
          <w:p>
            <w:r>
              <w:rPr>
                <w:rFonts w:ascii="Carlito" w:hAnsi="Carlito" w:eastAsia="Carlito"/>
                <w:sz w:val="18"/>
              </w:rPr>
              <w:t>Proveedor</w:t>
            </w:r>
          </w:p>
        </w:tc>
        <w:tc>
          <w:tcPr>
            <w:tcW w:type="dxa" w:w="6917"/>
            <w:vAlign w:val="center"/>
          </w:tcPr>
          <w:p>
            <w:r>
              <w:rPr>
                <w:rFonts w:ascii="Carlito" w:hAnsi="Carlito" w:eastAsia="Carlito"/>
                <w:sz w:val="18"/>
              </w:rPr>
              <w:t>Filtro por proveedor seleccionado.</w:t>
            </w:r>
          </w:p>
        </w:tc>
      </w:tr>
      <w:tr>
        <w:trPr>
          <w:cantSplit/>
        </w:trPr>
        <w:tc>
          <w:tcPr>
            <w:tcW w:type="dxa" w:w="2438"/>
            <w:shd w:fill="F2F2F2"/>
            <w:vAlign w:val="center"/>
          </w:tcPr>
          <w:p>
            <w:r>
              <w:rPr>
                <w:rFonts w:ascii="Carlito" w:hAnsi="Carlito" w:eastAsia="Carlito"/>
                <w:sz w:val="18"/>
              </w:rPr>
              <w:t>Excluir sin ventas</w:t>
            </w:r>
          </w:p>
        </w:tc>
        <w:tc>
          <w:tcPr>
            <w:tcW w:type="dxa" w:w="6917"/>
            <w:shd w:fill="F2F2F2"/>
            <w:vAlign w:val="center"/>
          </w:tcPr>
          <w:p>
            <w:r>
              <w:rPr>
                <w:rFonts w:ascii="Carlito" w:hAnsi="Carlito" w:eastAsia="Carlito"/>
                <w:sz w:val="18"/>
              </w:rPr>
              <w:t>Evita sugerir artículos sin movimiento reciente.</w:t>
            </w:r>
          </w:p>
        </w:tc>
      </w:tr>
      <w:tr>
        <w:trPr>
          <w:cantSplit/>
        </w:trPr>
        <w:tc>
          <w:tcPr>
            <w:tcW w:type="dxa" w:w="2438"/>
            <w:vAlign w:val="center"/>
          </w:tcPr>
          <w:p>
            <w:r>
              <w:rPr>
                <w:rFonts w:ascii="Carlito" w:hAnsi="Carlito" w:eastAsia="Carlito"/>
                <w:sz w:val="18"/>
              </w:rPr>
              <w:t>Límite de líneas</w:t>
            </w:r>
          </w:p>
        </w:tc>
        <w:tc>
          <w:tcPr>
            <w:tcW w:type="dxa" w:w="6917"/>
            <w:vAlign w:val="center"/>
          </w:tcPr>
          <w:p>
            <w:r>
              <w:rPr>
                <w:rFonts w:ascii="Carlito" w:hAnsi="Carlito" w:eastAsia="Carlito"/>
                <w:sz w:val="18"/>
              </w:rPr>
              <w:t>Controla el tamaño de la propuesta.</w:t>
            </w:r>
          </w:p>
        </w:tc>
      </w:tr>
    </w:tbl>
    <w:p>
      <w:pPr>
        <w:spacing w:after="40"/>
      </w:pP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Seleccionar proveedor por código o nombre.</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Definir días de ventas y cobertura.</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Aplicar filtros y generar la propuesta.</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Ordenar columnas y revisar cantidades.</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Exportar a CSV, PDF o impresión si se desea.</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Crear un borrador o pedido real únicamente después de la revisión.</w:t>
      </w: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NO AUTOMÁTICO: </w:t>
            </w:r>
            <w:r>
              <w:rPr>
                <w:rFonts w:ascii="Carlito" w:hAnsi="Carlito" w:eastAsia="Carlito"/>
                <w:color w:val="000000"/>
                <w:sz w:val="19"/>
              </w:rPr>
              <w:t>La sugerencia es una ayuda a la decisión, no una orden definitiva. Promociones, estacionalidad, pedidos ya enviados y cambios de proveedor pueden modificar la necesidad real.</w:t>
            </w:r>
          </w:p>
        </w:tc>
      </w:tr>
    </w:tbl>
    <w:p>
      <w:pPr>
        <w:spacing w:after="20"/>
      </w:pPr>
    </w:p>
    <w:p>
      <w:pPr>
        <w:pStyle w:val="Heading2"/>
        <w:keepNext/>
      </w:pPr>
      <w:r>
        <w:t>7.3 Actualización de existencias</w:t>
      </w:r>
    </w:p>
    <w:p>
      <w:pPr>
        <w:pStyle w:val="BodyText"/>
        <w:keepLines w:val="0"/>
        <w:spacing w:after="100" w:line="259" w:lineRule="auto"/>
        <w:ind w:left="0"/>
      </w:pPr>
      <w:r>
        <w:rPr>
          <w:rFonts w:ascii="Carlito" w:hAnsi="Carlito" w:eastAsia="Carlito"/>
          <w:i w:val="0"/>
          <w:sz w:val="21"/>
        </w:rPr>
        <w:t>La consulta de historial permite revisar todos los cambios o filtrar por artículo. Las columnas deben ser ordenables y la búsqueda sin código debe mostrar el conjunto completo de movimientos.</w:t>
      </w:r>
    </w:p>
    <w:p>
      <w:pPr>
        <w:pStyle w:val="Heading2"/>
        <w:keepNext/>
      </w:pPr>
      <w:r>
        <w:t>7.4 Importación de pedidos</w:t>
      </w:r>
    </w:p>
    <w:p>
      <w:pPr>
        <w:pStyle w:val="BodyText"/>
        <w:keepLines w:val="0"/>
        <w:spacing w:after="100" w:line="259" w:lineRule="auto"/>
        <w:ind w:left="0"/>
      </w:pPr>
      <w:r>
        <w:rPr>
          <w:rFonts w:ascii="Carlito" w:hAnsi="Carlito" w:eastAsia="Carlito"/>
          <w:i w:val="0"/>
          <w:sz w:val="21"/>
        </w:rPr>
        <w:t>Los procesos de importación deben mapear los campos por nombre cuando sea posible. El acceso posicional mediante Fields[n] puede provocar errores si cambia el orden de los campos. Antes de modificar este código debe localizarse el dataset exacto y verificar cada índice.</w:t>
      </w: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DESARROLLO: </w:t>
            </w:r>
            <w:r>
              <w:rPr>
                <w:rFonts w:ascii="Carlito" w:hAnsi="Carlito" w:eastAsia="Carlito"/>
                <w:color w:val="000000"/>
                <w:sz w:val="19"/>
              </w:rPr>
              <w:t>No asumir que un índice representa siempre la misma columna. Documentar los accesos posicionales y sustituirlos progresivamente por FieldByName cuando sea seguro.</w:t>
            </w:r>
          </w:p>
        </w:tc>
      </w:tr>
    </w:tbl>
    <w:p>
      <w:pPr>
        <w:spacing w:after="20"/>
      </w:pPr>
    </w:p>
    <w:p>
      <w:bookmarkStart w:id="10" w:name="cap8"/>
      <w:pPr>
        <w:pStyle w:val="Heading1"/>
        <w:keepNext/>
      </w:pPr>
      <w:r>
        <w:t>8. Facturación, impresión, PDF y correo</w:t>
      </w:r>
      <w:bookmarkEnd w:id="10"/>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ESTADO: </w:t>
            </w:r>
            <w:r>
              <w:rPr>
                <w:rFonts w:ascii="Carlito" w:hAnsi="Carlito" w:eastAsia="Carlito"/>
                <w:color w:val="000000"/>
                <w:sz w:val="19"/>
              </w:rPr>
              <w:t>Generación de PDF y columna de descuento validadas en la revisión correspondiente. Las plantillas .lrf requieren control de compatibilidad.</w:t>
            </w:r>
          </w:p>
        </w:tc>
      </w:tr>
    </w:tbl>
    <w:p>
      <w:pPr>
        <w:spacing w:after="20"/>
      </w:pPr>
    </w:p>
    <w:p>
      <w:pPr>
        <w:pStyle w:val="Heading2"/>
        <w:keepNext/>
      </w:pPr>
      <w:r>
        <w:t>8.1 Facturación de albaranes</w:t>
      </w:r>
    </w:p>
    <w:p>
      <w:pPr>
        <w:pStyle w:val="BodyText"/>
        <w:keepLines w:val="0"/>
        <w:spacing w:after="100" w:line="259" w:lineRule="auto"/>
        <w:ind w:left="0"/>
      </w:pPr>
      <w:r>
        <w:rPr>
          <w:rFonts w:ascii="Carlito" w:hAnsi="Carlito" w:eastAsia="Carlito"/>
          <w:i w:val="0"/>
          <w:sz w:val="21"/>
        </w:rPr>
        <w:t>La facturación convierte albaranes en facturas según cliente, serie y criterios seleccionados. Antes de confirmar, revisar el período, documentos incluidos, cliente y totales.</w:t>
      </w:r>
    </w:p>
    <w:tbl>
      <w:tblPr>
        <w:tblW w:type="auto" w:w="0"/>
        <w:jc w:val="center"/>
        <w:tblLayout w:type="fixed"/>
        <w:tblLook w:firstColumn="1" w:firstRow="1" w:lastColumn="0" w:lastRow="0" w:noHBand="0" w:noVBand="1" w:val="04A0"/>
      </w:tblPr>
      <w:tblGrid>
        <w:gridCol w:w="4929"/>
        <w:gridCol w:w="4929"/>
      </w:tblGrid>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Los albaranes pertenecen al cliente correcto.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No existen documentos ya facturados o anulados incluidos por error.</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 serie de factura es correcta.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Las líneas, descuentos e IVA coinciden con el origen.</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 numeración siguiente es válida.</w:t>
            </w:r>
          </w:p>
        </w:tc>
      </w:tr>
    </w:tbl>
    <w:p>
      <w:pPr>
        <w:spacing w:after="40"/>
      </w:pPr>
    </w:p>
    <w:p>
      <w:pPr>
        <w:pStyle w:val="Heading2"/>
        <w:keepNext/>
      </w:pPr>
      <w:r>
        <w:t>8.2 Información de descuentos</w:t>
      </w:r>
    </w:p>
    <w:p>
      <w:pPr>
        <w:pStyle w:val="BodyText"/>
        <w:keepLines w:val="0"/>
        <w:spacing w:after="100" w:line="259" w:lineRule="auto"/>
        <w:ind w:left="0"/>
      </w:pPr>
      <w:r>
        <w:rPr>
          <w:rFonts w:ascii="Carlito" w:hAnsi="Carlito" w:eastAsia="Carlito"/>
          <w:i w:val="0"/>
          <w:sz w:val="21"/>
        </w:rPr>
        <w:t>Las facturas PDF deben mostrar una columna Dto entre PVP y Total línea cuando existen descuentos. El porcentaje debe presentarse con dos decimales, evitando que el total parezca incoherente respecto a cantidad y precio.</w:t>
      </w: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EJEMPLO: </w:t>
            </w:r>
            <w:r>
              <w:rPr>
                <w:rFonts w:ascii="Carlito" w:hAnsi="Carlito" w:eastAsia="Carlito"/>
                <w:color w:val="000000"/>
                <w:sz w:val="19"/>
              </w:rPr>
              <w:t>Cantidad 2, PVP 3,55, descuento 25,00 % y total de línea 5,33. Sin la columna Dto, el lector no puede explicar la diferencia.</w:t>
            </w:r>
          </w:p>
        </w:tc>
      </w:tr>
    </w:tbl>
    <w:p>
      <w:pPr>
        <w:spacing w:after="20"/>
      </w:pPr>
    </w:p>
    <w:p>
      <w:pPr>
        <w:pStyle w:val="Heading2"/>
        <w:keepNext/>
      </w:pPr>
      <w:r>
        <w:t>8.3 Plantillas .lrf</w:t>
      </w:r>
    </w:p>
    <w:p>
      <w:pPr>
        <w:pStyle w:val="BodyText"/>
        <w:keepLines w:val="0"/>
        <w:spacing w:after="100" w:line="259" w:lineRule="auto"/>
        <w:ind w:left="0"/>
      </w:pPr>
      <w:r>
        <w:rPr>
          <w:rFonts w:ascii="Carlito" w:hAnsi="Carlito" w:eastAsia="Carlito"/>
          <w:i w:val="0"/>
          <w:sz w:val="21"/>
        </w:rPr>
        <w:t>Las plantillas de LazReport contienen objetos y expresiones enlazadas a datasets. Si una plantilla solicita un campo inexistente, la generación se detiene con un error de cálculo.</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2835"/>
            <w:shd w:fill="1F4E78"/>
            <w:vAlign w:val="center"/>
          </w:tcPr>
          <w:p>
            <w:r>
              <w:rPr>
                <w:rFonts w:ascii="Carlito" w:hAnsi="Carlito" w:eastAsia="Carlito"/>
                <w:b/>
                <w:color w:val="FFFFFF"/>
                <w:sz w:val="18"/>
              </w:rPr>
              <w:t>Error</w:t>
            </w:r>
          </w:p>
        </w:tc>
        <w:tc>
          <w:tcPr>
            <w:tcW w:type="dxa" w:w="3402"/>
            <w:shd w:fill="1F4E78"/>
            <w:vAlign w:val="center"/>
          </w:tcPr>
          <w:p>
            <w:r>
              <w:rPr>
                <w:rFonts w:ascii="Carlito" w:hAnsi="Carlito" w:eastAsia="Carlito"/>
                <w:b/>
                <w:color w:val="FFFFFF"/>
                <w:sz w:val="18"/>
              </w:rPr>
              <w:t>Causa probable</w:t>
            </w:r>
          </w:p>
        </w:tc>
        <w:tc>
          <w:tcPr>
            <w:tcW w:type="dxa" w:w="3118"/>
            <w:shd w:fill="1F4E78"/>
            <w:vAlign w:val="center"/>
          </w:tcPr>
          <w:p>
            <w:r>
              <w:rPr>
                <w:rFonts w:ascii="Carlito" w:hAnsi="Carlito" w:eastAsia="Carlito"/>
                <w:b/>
                <w:color w:val="FFFFFF"/>
                <w:sz w:val="18"/>
              </w:rPr>
              <w:t>Acción</w:t>
            </w:r>
          </w:p>
        </w:tc>
      </w:tr>
      <w:tr>
        <w:trPr>
          <w:cantSplit/>
        </w:trPr>
        <w:tc>
          <w:tcPr>
            <w:tcW w:type="dxa" w:w="2835"/>
            <w:vAlign w:val="center"/>
          </w:tcPr>
          <w:p>
            <w:r>
              <w:rPr>
                <w:rFonts w:ascii="Carlito" w:hAnsi="Carlito" w:eastAsia="Carlito"/>
                <w:sz w:val="18"/>
              </w:rPr>
              <w:t>Undefined symbol dbImprimir."IMP5"</w:t>
            </w:r>
          </w:p>
        </w:tc>
        <w:tc>
          <w:tcPr>
            <w:tcW w:type="dxa" w:w="3402"/>
            <w:vAlign w:val="center"/>
          </w:tcPr>
          <w:p>
            <w:r>
              <w:rPr>
                <w:rFonts w:ascii="Carlito" w:hAnsi="Carlito" w:eastAsia="Carlito"/>
                <w:sz w:val="18"/>
              </w:rPr>
              <w:t>La plantilla contiene un Memo que referencia un campo no disponible.</w:t>
            </w:r>
          </w:p>
        </w:tc>
        <w:tc>
          <w:tcPr>
            <w:tcW w:type="dxa" w:w="3118"/>
            <w:vAlign w:val="center"/>
          </w:tcPr>
          <w:p>
            <w:r>
              <w:rPr>
                <w:rFonts w:ascii="Carlito" w:hAnsi="Carlito" w:eastAsia="Carlito"/>
                <w:sz w:val="18"/>
              </w:rPr>
              <w:t>Abrir la plantilla correcta, localizar el objeto y ajustar la expresión o proporcionar el campo.</w:t>
            </w:r>
          </w:p>
        </w:tc>
      </w:tr>
      <w:tr>
        <w:trPr>
          <w:cantSplit/>
        </w:trPr>
        <w:tc>
          <w:tcPr>
            <w:tcW w:type="dxa" w:w="2835"/>
            <w:shd w:fill="F2F2F2"/>
            <w:vAlign w:val="center"/>
          </w:tcPr>
          <w:p>
            <w:r>
              <w:rPr>
                <w:rFonts w:ascii="Carlito" w:hAnsi="Carlito" w:eastAsia="Carlito"/>
                <w:sz w:val="18"/>
              </w:rPr>
              <w:t>Error SQL cerca de AND</w:t>
            </w:r>
          </w:p>
        </w:tc>
        <w:tc>
          <w:tcPr>
            <w:tcW w:type="dxa" w:w="3402"/>
            <w:shd w:fill="F2F2F2"/>
            <w:vAlign w:val="center"/>
          </w:tcPr>
          <w:p>
            <w:r>
              <w:rPr>
                <w:rFonts w:ascii="Carlito" w:hAnsi="Carlito" w:eastAsia="Carlito"/>
                <w:sz w:val="18"/>
              </w:rPr>
              <w:t>Condición construida sin una cláusula previa o parámetro vacío.</w:t>
            </w:r>
          </w:p>
        </w:tc>
        <w:tc>
          <w:tcPr>
            <w:tcW w:type="dxa" w:w="3118"/>
            <w:shd w:fill="F2F2F2"/>
            <w:vAlign w:val="center"/>
          </w:tcPr>
          <w:p>
            <w:r>
              <w:rPr>
                <w:rFonts w:ascii="Carlito" w:hAnsi="Carlito" w:eastAsia="Carlito"/>
                <w:sz w:val="18"/>
              </w:rPr>
              <w:t>Revisar la SQL final y el valor de los filtros.</w:t>
            </w:r>
          </w:p>
        </w:tc>
      </w:tr>
      <w:tr>
        <w:trPr>
          <w:cantSplit/>
        </w:trPr>
        <w:tc>
          <w:tcPr>
            <w:tcW w:type="dxa" w:w="2835"/>
            <w:vAlign w:val="center"/>
          </w:tcPr>
          <w:p>
            <w:r>
              <w:rPr>
                <w:rFonts w:ascii="Carlito" w:hAnsi="Carlito" w:eastAsia="Carlito"/>
                <w:sz w:val="18"/>
              </w:rPr>
              <w:t>Se carga Documentos.lrf sin referencia visible</w:t>
            </w:r>
          </w:p>
        </w:tc>
        <w:tc>
          <w:tcPr>
            <w:tcW w:type="dxa" w:w="3402"/>
            <w:vAlign w:val="center"/>
          </w:tcPr>
          <w:p>
            <w:r>
              <w:rPr>
                <w:rFonts w:ascii="Carlito" w:hAnsi="Carlito" w:eastAsia="Carlito"/>
                <w:sz w:val="18"/>
              </w:rPr>
              <w:t>La ruta o el nombre puede construirse dinámicamente.</w:t>
            </w:r>
          </w:p>
        </w:tc>
        <w:tc>
          <w:tcPr>
            <w:tcW w:type="dxa" w:w="3118"/>
            <w:vAlign w:val="center"/>
          </w:tcPr>
          <w:p>
            <w:r>
              <w:rPr>
                <w:rFonts w:ascii="Carlito" w:hAnsi="Carlito" w:eastAsia="Carlito"/>
                <w:sz w:val="18"/>
              </w:rPr>
              <w:t>Buscar LoadFromFile, variables de ruta, recursos y configuración en tiempo de ejecución.</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PRECAUCIÓN: </w:t>
            </w:r>
            <w:r>
              <w:rPr>
                <w:rFonts w:ascii="Carlito" w:hAnsi="Carlito" w:eastAsia="Carlito"/>
                <w:color w:val="000000"/>
                <w:sz w:val="19"/>
              </w:rPr>
              <w:t>No modificar una plantilla de producción sin conservar una copia. Dos ficheros con nombres similares pueden no utilizarse en el mismo circuito.</w:t>
            </w:r>
          </w:p>
        </w:tc>
      </w:tr>
    </w:tbl>
    <w:p>
      <w:pPr>
        <w:spacing w:after="20"/>
      </w:pPr>
    </w:p>
    <w:p>
      <w:pPr>
        <w:pStyle w:val="Heading2"/>
        <w:keepNext/>
      </w:pPr>
      <w:r>
        <w:t>8.4 Generación de PDF</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Seleccionar el documento o conjunto de documentos.</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Generar el PDF.</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Abrir la previsualización.</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Comprobar cabecera, datos fiscales, líneas, descuentos, bases, IVA y totales.</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Verificar que no existen textos cortados, columnas fuera de página o caracteres incorrectos.</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Guardar o enviar únicamente después de la revisión.</w:t>
      </w:r>
    </w:p>
    <w:p>
      <w:pPr>
        <w:pStyle w:val="Heading2"/>
        <w:keepNext/>
      </w:pPr>
      <w:r>
        <w:t>8.5 Envío por correo</w:t>
      </w:r>
    </w:p>
    <w:p>
      <w:pPr>
        <w:pStyle w:val="BodyText"/>
        <w:keepLines w:val="0"/>
        <w:spacing w:after="100" w:line="259" w:lineRule="auto"/>
        <w:ind w:left="0"/>
      </w:pPr>
      <w:r>
        <w:rPr>
          <w:rFonts w:ascii="Carlito" w:hAnsi="Carlito" w:eastAsia="Carlito"/>
          <w:i w:val="0"/>
          <w:sz w:val="21"/>
        </w:rPr>
        <w:t>El envío por correo genera o adjunta el documento y muestra un mensaje de información. Los paneles de aviso deben aparecer por encima de los demás componentes y el texto no debe superponerse ni mostrarse emborronado.</w:t>
      </w:r>
    </w:p>
    <w:tbl>
      <w:tblPr>
        <w:tblW w:type="auto" w:w="0"/>
        <w:jc w:val="center"/>
        <w:tblLayout w:type="fixed"/>
        <w:tblLook w:firstColumn="1" w:firstRow="1" w:lastColumn="0" w:lastRow="0" w:noHBand="0" w:noVBand="1" w:val="04A0"/>
      </w:tblPr>
      <w:tblGrid>
        <w:gridCol w:w="4929"/>
        <w:gridCol w:w="4929"/>
      </w:tblGrid>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Destinatario correcto.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Asunto y cuerpo adecuados.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PDF generado y adjunto.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Mensaje de progreso visible.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Mensaje final verde legible y mostrado una sola vez.</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Error de envío, si existe, claramente informado.</w:t>
            </w:r>
          </w:p>
        </w:tc>
      </w:tr>
    </w:tbl>
    <w:p>
      <w:pPr>
        <w:spacing w:after="40"/>
      </w:pPr>
    </w:p>
    <w:p>
      <w:bookmarkStart w:id="11" w:name="cap9"/>
      <w:pPr>
        <w:pStyle w:val="Heading1"/>
        <w:keepNext/>
      </w:pPr>
      <w:r>
        <w:t>9. VeriFactu y documentos rectificativos</w:t>
      </w:r>
      <w:bookmarkEnd w:id="11"/>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ESTADO: </w:t>
            </w:r>
            <w:r>
              <w:rPr>
                <w:rFonts w:ascii="Carlito" w:hAnsi="Carlito" w:eastAsia="Carlito"/>
                <w:color w:val="000000"/>
                <w:sz w:val="19"/>
              </w:rPr>
              <w:t>Monitor y estructura principal conocidos. Los circuitos rectificativos deben seguir probándose con casos reales y de excepción.</w:t>
            </w:r>
          </w:p>
        </w:tc>
      </w:tr>
    </w:tbl>
    <w:p>
      <w:pPr>
        <w:spacing w:after="20"/>
      </w:pPr>
    </w:p>
    <w:p>
      <w:pPr>
        <w:pStyle w:val="Heading2"/>
        <w:keepNext/>
      </w:pPr>
      <w:r>
        <w:t>9.1 Tipos de documento</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2268"/>
            <w:shd w:fill="1F4E78"/>
            <w:vAlign w:val="center"/>
          </w:tcPr>
          <w:p>
            <w:r>
              <w:rPr>
                <w:rFonts w:ascii="Carlito" w:hAnsi="Carlito" w:eastAsia="Carlito"/>
                <w:b/>
                <w:color w:val="FFFFFF"/>
                <w:sz w:val="18"/>
              </w:rPr>
              <w:t>Código</w:t>
            </w:r>
          </w:p>
        </w:tc>
        <w:tc>
          <w:tcPr>
            <w:tcW w:type="dxa" w:w="3969"/>
            <w:shd w:fill="1F4E78"/>
            <w:vAlign w:val="center"/>
          </w:tcPr>
          <w:p>
            <w:r>
              <w:rPr>
                <w:rFonts w:ascii="Carlito" w:hAnsi="Carlito" w:eastAsia="Carlito"/>
                <w:b/>
                <w:color w:val="FFFFFF"/>
                <w:sz w:val="18"/>
              </w:rPr>
              <w:t>Descripción</w:t>
            </w:r>
          </w:p>
        </w:tc>
        <w:tc>
          <w:tcPr>
            <w:tcW w:type="dxa" w:w="3118"/>
            <w:shd w:fill="1F4E78"/>
            <w:vAlign w:val="center"/>
          </w:tcPr>
          <w:p>
            <w:r>
              <w:rPr>
                <w:rFonts w:ascii="Carlito" w:hAnsi="Carlito" w:eastAsia="Carlito"/>
                <w:b/>
                <w:color w:val="FFFFFF"/>
                <w:sz w:val="18"/>
              </w:rPr>
              <w:t>Serie habitual</w:t>
            </w:r>
          </w:p>
        </w:tc>
      </w:tr>
      <w:tr>
        <w:trPr>
          <w:cantSplit/>
        </w:trPr>
        <w:tc>
          <w:tcPr>
            <w:tcW w:type="dxa" w:w="2268"/>
            <w:vAlign w:val="center"/>
          </w:tcPr>
          <w:p>
            <w:r>
              <w:rPr>
                <w:rFonts w:ascii="Carlito" w:hAnsi="Carlito" w:eastAsia="Carlito"/>
                <w:sz w:val="18"/>
              </w:rPr>
              <w:t>F1</w:t>
            </w:r>
          </w:p>
        </w:tc>
        <w:tc>
          <w:tcPr>
            <w:tcW w:type="dxa" w:w="3969"/>
            <w:vAlign w:val="center"/>
          </w:tcPr>
          <w:p>
            <w:r>
              <w:rPr>
                <w:rFonts w:ascii="Carlito" w:hAnsi="Carlito" w:eastAsia="Carlito"/>
                <w:sz w:val="18"/>
              </w:rPr>
              <w:t>Factura completa</w:t>
            </w:r>
          </w:p>
        </w:tc>
        <w:tc>
          <w:tcPr>
            <w:tcW w:type="dxa" w:w="3118"/>
            <w:vAlign w:val="center"/>
          </w:tcPr>
          <w:p>
            <w:r>
              <w:rPr>
                <w:rFonts w:ascii="Carlito" w:hAnsi="Carlito" w:eastAsia="Carlito"/>
                <w:sz w:val="18"/>
              </w:rPr>
              <w:t>Serie normal.</w:t>
            </w:r>
          </w:p>
        </w:tc>
      </w:tr>
      <w:tr>
        <w:trPr>
          <w:cantSplit/>
        </w:trPr>
        <w:tc>
          <w:tcPr>
            <w:tcW w:type="dxa" w:w="2268"/>
            <w:shd w:fill="F2F2F2"/>
            <w:vAlign w:val="center"/>
          </w:tcPr>
          <w:p>
            <w:r>
              <w:rPr>
                <w:rFonts w:ascii="Carlito" w:hAnsi="Carlito" w:eastAsia="Carlito"/>
                <w:sz w:val="18"/>
              </w:rPr>
              <w:t>F2</w:t>
            </w:r>
          </w:p>
        </w:tc>
        <w:tc>
          <w:tcPr>
            <w:tcW w:type="dxa" w:w="3969"/>
            <w:shd w:fill="F2F2F2"/>
            <w:vAlign w:val="center"/>
          </w:tcPr>
          <w:p>
            <w:r>
              <w:rPr>
                <w:rFonts w:ascii="Carlito" w:hAnsi="Carlito" w:eastAsia="Carlito"/>
                <w:sz w:val="18"/>
              </w:rPr>
              <w:t>Factura simplificada</w:t>
            </w:r>
          </w:p>
        </w:tc>
        <w:tc>
          <w:tcPr>
            <w:tcW w:type="dxa" w:w="3118"/>
            <w:shd w:fill="F2F2F2"/>
            <w:vAlign w:val="center"/>
          </w:tcPr>
          <w:p>
            <w:r>
              <w:rPr>
                <w:rFonts w:ascii="Carlito" w:hAnsi="Carlito" w:eastAsia="Carlito"/>
                <w:sz w:val="18"/>
              </w:rPr>
              <w:t>Serie con prefijo FS-.</w:t>
            </w:r>
          </w:p>
        </w:tc>
      </w:tr>
      <w:tr>
        <w:trPr>
          <w:cantSplit/>
        </w:trPr>
        <w:tc>
          <w:tcPr>
            <w:tcW w:type="dxa" w:w="2268"/>
            <w:vAlign w:val="center"/>
          </w:tcPr>
          <w:p>
            <w:r>
              <w:rPr>
                <w:rFonts w:ascii="Carlito" w:hAnsi="Carlito" w:eastAsia="Carlito"/>
                <w:sz w:val="18"/>
              </w:rPr>
              <w:t>Rectificativa normal</w:t>
            </w:r>
          </w:p>
        </w:tc>
        <w:tc>
          <w:tcPr>
            <w:tcW w:type="dxa" w:w="3969"/>
            <w:vAlign w:val="center"/>
          </w:tcPr>
          <w:p>
            <w:r>
              <w:rPr>
                <w:rFonts w:ascii="Carlito" w:hAnsi="Carlito" w:eastAsia="Carlito"/>
                <w:sz w:val="18"/>
              </w:rPr>
              <w:t>Corrige una factura completa</w:t>
            </w:r>
          </w:p>
        </w:tc>
        <w:tc>
          <w:tcPr>
            <w:tcW w:type="dxa" w:w="3118"/>
            <w:vAlign w:val="center"/>
          </w:tcPr>
          <w:p>
            <w:r>
              <w:rPr>
                <w:rFonts w:ascii="Carlito" w:hAnsi="Carlito" w:eastAsia="Carlito"/>
                <w:sz w:val="18"/>
              </w:rPr>
              <w:t>R26 u otra serie configurada.</w:t>
            </w:r>
          </w:p>
        </w:tc>
      </w:tr>
      <w:tr>
        <w:trPr>
          <w:cantSplit/>
        </w:trPr>
        <w:tc>
          <w:tcPr>
            <w:tcW w:type="dxa" w:w="2268"/>
            <w:shd w:fill="F2F2F2"/>
            <w:vAlign w:val="center"/>
          </w:tcPr>
          <w:p>
            <w:r>
              <w:rPr>
                <w:rFonts w:ascii="Carlito" w:hAnsi="Carlito" w:eastAsia="Carlito"/>
                <w:sz w:val="18"/>
              </w:rPr>
              <w:t>Rectificativa simplificada</w:t>
            </w:r>
          </w:p>
        </w:tc>
        <w:tc>
          <w:tcPr>
            <w:tcW w:type="dxa" w:w="3969"/>
            <w:shd w:fill="F2F2F2"/>
            <w:vAlign w:val="center"/>
          </w:tcPr>
          <w:p>
            <w:r>
              <w:rPr>
                <w:rFonts w:ascii="Carlito" w:hAnsi="Carlito" w:eastAsia="Carlito"/>
                <w:sz w:val="18"/>
              </w:rPr>
              <w:t>Corrige una simplificada</w:t>
            </w:r>
          </w:p>
        </w:tc>
        <w:tc>
          <w:tcPr>
            <w:tcW w:type="dxa" w:w="3118"/>
            <w:shd w:fill="F2F2F2"/>
            <w:vAlign w:val="center"/>
          </w:tcPr>
          <w:p>
            <w:r>
              <w:rPr>
                <w:rFonts w:ascii="Carlito" w:hAnsi="Carlito" w:eastAsia="Carlito"/>
                <w:sz w:val="18"/>
              </w:rPr>
              <w:t>FS-R26 u otra serie configurada.</w:t>
            </w:r>
          </w:p>
        </w:tc>
      </w:tr>
    </w:tbl>
    <w:p>
      <w:pPr>
        <w:spacing w:after="40"/>
      </w:pPr>
    </w:p>
    <w:p>
      <w:pPr>
        <w:pStyle w:val="Heading2"/>
        <w:keepNext/>
      </w:pPr>
      <w:r>
        <w:t>9.2 Cola VeriFactu</w:t>
      </w:r>
    </w:p>
    <w:p>
      <w:pPr>
        <w:pStyle w:val="BodyText"/>
        <w:keepLines w:val="0"/>
        <w:spacing w:after="100" w:line="259" w:lineRule="auto"/>
        <w:ind w:left="0"/>
      </w:pPr>
      <w:r>
        <w:rPr>
          <w:rFonts w:ascii="Carlito" w:hAnsi="Carlito" w:eastAsia="Carlito"/>
          <w:i w:val="0"/>
          <w:sz w:val="21"/>
        </w:rPr>
        <w:t>La cola conserva los datos necesarios para el envío y seguimiento: serie, número, fecha, hora, total con IVA, estado, JSON, hash, hash anterior, fecha ISO y tipo de factura.</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268"/>
            <w:shd w:fill="1F4E78"/>
            <w:vAlign w:val="center"/>
          </w:tcPr>
          <w:p>
            <w:r>
              <w:rPr>
                <w:rFonts w:ascii="Carlito" w:hAnsi="Carlito" w:eastAsia="Carlito"/>
                <w:b/>
                <w:color w:val="FFFFFF"/>
                <w:sz w:val="18"/>
              </w:rPr>
              <w:t>Campo</w:t>
            </w:r>
          </w:p>
        </w:tc>
        <w:tc>
          <w:tcPr>
            <w:tcW w:type="dxa" w:w="7087"/>
            <w:shd w:fill="1F4E78"/>
            <w:vAlign w:val="center"/>
          </w:tcPr>
          <w:p>
            <w:r>
              <w:rPr>
                <w:rFonts w:ascii="Carlito" w:hAnsi="Carlito" w:eastAsia="Carlito"/>
                <w:b/>
                <w:color w:val="FFFFFF"/>
                <w:sz w:val="18"/>
              </w:rPr>
              <w:t>Función</w:t>
            </w:r>
          </w:p>
        </w:tc>
      </w:tr>
      <w:tr>
        <w:trPr>
          <w:cantSplit/>
        </w:trPr>
        <w:tc>
          <w:tcPr>
            <w:tcW w:type="dxa" w:w="2268"/>
            <w:vAlign w:val="center"/>
          </w:tcPr>
          <w:p>
            <w:r>
              <w:rPr>
                <w:rFonts w:ascii="Carlito" w:hAnsi="Carlito" w:eastAsia="Carlito"/>
                <w:sz w:val="18"/>
              </w:rPr>
              <w:t>estado</w:t>
            </w:r>
          </w:p>
        </w:tc>
        <w:tc>
          <w:tcPr>
            <w:tcW w:type="dxa" w:w="7087"/>
            <w:vAlign w:val="center"/>
          </w:tcPr>
          <w:p>
            <w:r>
              <w:rPr>
                <w:rFonts w:ascii="Carlito" w:hAnsi="Carlito" w:eastAsia="Carlito"/>
                <w:sz w:val="18"/>
              </w:rPr>
              <w:t>Situación del registro: pendiente, enviado, aceptado, error, etc.</w:t>
            </w:r>
          </w:p>
        </w:tc>
      </w:tr>
      <w:tr>
        <w:trPr>
          <w:cantSplit/>
        </w:trPr>
        <w:tc>
          <w:tcPr>
            <w:tcW w:type="dxa" w:w="2268"/>
            <w:shd w:fill="F2F2F2"/>
            <w:vAlign w:val="center"/>
          </w:tcPr>
          <w:p>
            <w:r>
              <w:rPr>
                <w:rFonts w:ascii="Carlito" w:hAnsi="Carlito" w:eastAsia="Carlito"/>
                <w:sz w:val="18"/>
              </w:rPr>
              <w:t>payload_json</w:t>
            </w:r>
          </w:p>
        </w:tc>
        <w:tc>
          <w:tcPr>
            <w:tcW w:type="dxa" w:w="7087"/>
            <w:shd w:fill="F2F2F2"/>
            <w:vAlign w:val="center"/>
          </w:tcPr>
          <w:p>
            <w:r>
              <w:rPr>
                <w:rFonts w:ascii="Carlito" w:hAnsi="Carlito" w:eastAsia="Carlito"/>
                <w:sz w:val="18"/>
              </w:rPr>
              <w:t>Contenido preparado para el envío.</w:t>
            </w:r>
          </w:p>
        </w:tc>
      </w:tr>
      <w:tr>
        <w:trPr>
          <w:cantSplit/>
        </w:trPr>
        <w:tc>
          <w:tcPr>
            <w:tcW w:type="dxa" w:w="2268"/>
            <w:vAlign w:val="center"/>
          </w:tcPr>
          <w:p>
            <w:r>
              <w:rPr>
                <w:rFonts w:ascii="Carlito" w:hAnsi="Carlito" w:eastAsia="Carlito"/>
                <w:sz w:val="18"/>
              </w:rPr>
              <w:t>hash</w:t>
            </w:r>
          </w:p>
        </w:tc>
        <w:tc>
          <w:tcPr>
            <w:tcW w:type="dxa" w:w="7087"/>
            <w:vAlign w:val="center"/>
          </w:tcPr>
          <w:p>
            <w:r>
              <w:rPr>
                <w:rFonts w:ascii="Carlito" w:hAnsi="Carlito" w:eastAsia="Carlito"/>
                <w:sz w:val="18"/>
              </w:rPr>
              <w:t>Huella SHA-256 del registro canónico y fecha.</w:t>
            </w:r>
          </w:p>
        </w:tc>
      </w:tr>
      <w:tr>
        <w:trPr>
          <w:cantSplit/>
        </w:trPr>
        <w:tc>
          <w:tcPr>
            <w:tcW w:type="dxa" w:w="2268"/>
            <w:shd w:fill="F2F2F2"/>
            <w:vAlign w:val="center"/>
          </w:tcPr>
          <w:p>
            <w:r>
              <w:rPr>
                <w:rFonts w:ascii="Carlito" w:hAnsi="Carlito" w:eastAsia="Carlito"/>
                <w:sz w:val="18"/>
              </w:rPr>
              <w:t>hash_prev</w:t>
            </w:r>
          </w:p>
        </w:tc>
        <w:tc>
          <w:tcPr>
            <w:tcW w:type="dxa" w:w="7087"/>
            <w:shd w:fill="F2F2F2"/>
            <w:vAlign w:val="center"/>
          </w:tcPr>
          <w:p>
            <w:r>
              <w:rPr>
                <w:rFonts w:ascii="Carlito" w:hAnsi="Carlito" w:eastAsia="Carlito"/>
                <w:sz w:val="18"/>
              </w:rPr>
              <w:t>Hash del registro anterior de la serie.</w:t>
            </w:r>
          </w:p>
        </w:tc>
      </w:tr>
      <w:tr>
        <w:trPr>
          <w:cantSplit/>
        </w:trPr>
        <w:tc>
          <w:tcPr>
            <w:tcW w:type="dxa" w:w="2268"/>
            <w:vAlign w:val="center"/>
          </w:tcPr>
          <w:p>
            <w:r>
              <w:rPr>
                <w:rFonts w:ascii="Carlito" w:hAnsi="Carlito" w:eastAsia="Carlito"/>
                <w:sz w:val="18"/>
              </w:rPr>
              <w:t>fecha_isoz</w:t>
            </w:r>
          </w:p>
        </w:tc>
        <w:tc>
          <w:tcPr>
            <w:tcW w:type="dxa" w:w="7087"/>
            <w:vAlign w:val="center"/>
          </w:tcPr>
          <w:p>
            <w:r>
              <w:rPr>
                <w:rFonts w:ascii="Carlito" w:hAnsi="Carlito" w:eastAsia="Carlito"/>
                <w:sz w:val="18"/>
              </w:rPr>
              <w:t>Marca temporal normalizada.</w:t>
            </w:r>
          </w:p>
        </w:tc>
      </w:tr>
      <w:tr>
        <w:trPr>
          <w:cantSplit/>
        </w:trPr>
        <w:tc>
          <w:tcPr>
            <w:tcW w:type="dxa" w:w="2268"/>
            <w:shd w:fill="F2F2F2"/>
            <w:vAlign w:val="center"/>
          </w:tcPr>
          <w:p>
            <w:r>
              <w:rPr>
                <w:rFonts w:ascii="Carlito" w:hAnsi="Carlito" w:eastAsia="Carlito"/>
                <w:sz w:val="18"/>
              </w:rPr>
              <w:t>tipo_factura</w:t>
            </w:r>
          </w:p>
        </w:tc>
        <w:tc>
          <w:tcPr>
            <w:tcW w:type="dxa" w:w="7087"/>
            <w:shd w:fill="F2F2F2"/>
            <w:vAlign w:val="center"/>
          </w:tcPr>
          <w:p>
            <w:r>
              <w:rPr>
                <w:rFonts w:ascii="Carlito" w:hAnsi="Carlito" w:eastAsia="Carlito"/>
                <w:sz w:val="18"/>
              </w:rPr>
              <w:t>F1 o F2.</w:t>
            </w:r>
          </w:p>
        </w:tc>
      </w:tr>
    </w:tbl>
    <w:p>
      <w:pPr>
        <w:spacing w:after="40"/>
      </w:pPr>
    </w:p>
    <w:p>
      <w:pPr>
        <w:pStyle w:val="Heading2"/>
        <w:keepNext/>
      </w:pPr>
      <w:r>
        <w:t>9.3 Monitor</w:t>
      </w:r>
    </w:p>
    <w:p>
      <w:pPr>
        <w:pStyle w:val="BodyText"/>
        <w:keepLines w:val="0"/>
        <w:spacing w:after="100" w:line="259" w:lineRule="auto"/>
        <w:ind w:left="0"/>
      </w:pPr>
      <w:r>
        <w:rPr>
          <w:rFonts w:ascii="Carlito" w:hAnsi="Carlito" w:eastAsia="Carlito"/>
          <w:i w:val="0"/>
          <w:sz w:val="21"/>
        </w:rPr>
        <w:t>El monitor muestra fecha, hora, serie, número, tipo, estado, resultado, intentos, hash, hash anterior y token. Debe utilizarse para distinguir un documento generado correctamente de uno realmente aceptado por Hacienda.</w:t>
      </w: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INTERPRETACIÓN: </w:t>
            </w:r>
            <w:r>
              <w:rPr>
                <w:rFonts w:ascii="Carlito" w:hAnsi="Carlito" w:eastAsia="Carlito"/>
                <w:color w:val="000000"/>
                <w:sz w:val="19"/>
              </w:rPr>
              <w:t>Que un documento exista o se haya enviado no significa necesariamente que figure como Aceptado. Revisar el estado y la respuesta devuelta.</w:t>
            </w:r>
          </w:p>
        </w:tc>
      </w:tr>
    </w:tbl>
    <w:p>
      <w:pPr>
        <w:spacing w:after="20"/>
      </w:pPr>
    </w:p>
    <w:p>
      <w:pPr>
        <w:pStyle w:val="Heading2"/>
        <w:keepNext/>
      </w:pPr>
      <w:r>
        <w:t>9.4 Errores conocidos</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835"/>
            <w:shd w:fill="1F4E78"/>
            <w:vAlign w:val="center"/>
          </w:tcPr>
          <w:p>
            <w:r>
              <w:rPr>
                <w:rFonts w:ascii="Carlito" w:hAnsi="Carlito" w:eastAsia="Carlito"/>
                <w:b/>
                <w:color w:val="FFFFFF"/>
                <w:sz w:val="18"/>
              </w:rPr>
              <w:t>Código / síntoma</w:t>
            </w:r>
          </w:p>
        </w:tc>
        <w:tc>
          <w:tcPr>
            <w:tcW w:type="dxa" w:w="6520"/>
            <w:shd w:fill="1F4E78"/>
            <w:vAlign w:val="center"/>
          </w:tcPr>
          <w:p>
            <w:r>
              <w:rPr>
                <w:rFonts w:ascii="Carlito" w:hAnsi="Carlito" w:eastAsia="Carlito"/>
                <w:b/>
                <w:color w:val="FFFFFF"/>
                <w:sz w:val="18"/>
              </w:rPr>
              <w:t>Interpretación orientativa</w:t>
            </w:r>
          </w:p>
        </w:tc>
      </w:tr>
      <w:tr>
        <w:trPr>
          <w:cantSplit/>
        </w:trPr>
        <w:tc>
          <w:tcPr>
            <w:tcW w:type="dxa" w:w="2835"/>
            <w:vAlign w:val="center"/>
          </w:tcPr>
          <w:p>
            <w:r>
              <w:rPr>
                <w:rFonts w:ascii="Carlito" w:hAnsi="Carlito" w:eastAsia="Carlito"/>
                <w:sz w:val="18"/>
              </w:rPr>
              <w:t>4102</w:t>
            </w:r>
          </w:p>
        </w:tc>
        <w:tc>
          <w:tcPr>
            <w:tcW w:type="dxa" w:w="6520"/>
            <w:vAlign w:val="center"/>
          </w:tcPr>
          <w:p>
            <w:r>
              <w:rPr>
                <w:rFonts w:ascii="Carlito" w:hAnsi="Carlito" w:eastAsia="Carlito"/>
                <w:sz w:val="18"/>
              </w:rPr>
              <w:t>Problema relacionado con DescripcionOperacion.</w:t>
            </w:r>
          </w:p>
        </w:tc>
      </w:tr>
      <w:tr>
        <w:trPr>
          <w:cantSplit/>
        </w:trPr>
        <w:tc>
          <w:tcPr>
            <w:tcW w:type="dxa" w:w="2835"/>
            <w:shd w:fill="F2F2F2"/>
            <w:vAlign w:val="center"/>
          </w:tcPr>
          <w:p>
            <w:r>
              <w:rPr>
                <w:rFonts w:ascii="Carlito" w:hAnsi="Carlito" w:eastAsia="Carlito"/>
                <w:sz w:val="18"/>
              </w:rPr>
              <w:t>1189</w:t>
            </w:r>
          </w:p>
        </w:tc>
        <w:tc>
          <w:tcPr>
            <w:tcW w:type="dxa" w:w="6520"/>
            <w:shd w:fill="F2F2F2"/>
            <w:vAlign w:val="center"/>
          </w:tcPr>
          <w:p>
            <w:r>
              <w:rPr>
                <w:rFonts w:ascii="Carlito" w:hAnsi="Carlito" w:eastAsia="Carlito"/>
                <w:sz w:val="18"/>
              </w:rPr>
              <w:t>Datos de destinatarios incompletos o no permitidos.</w:t>
            </w:r>
          </w:p>
        </w:tc>
      </w:tr>
      <w:tr>
        <w:trPr>
          <w:cantSplit/>
        </w:trPr>
        <w:tc>
          <w:tcPr>
            <w:tcW w:type="dxa" w:w="2835"/>
            <w:vAlign w:val="center"/>
          </w:tcPr>
          <w:p>
            <w:r>
              <w:rPr>
                <w:rFonts w:ascii="Carlito" w:hAnsi="Carlito" w:eastAsia="Carlito"/>
                <w:sz w:val="18"/>
              </w:rPr>
              <w:t>1054</w:t>
            </w:r>
          </w:p>
        </w:tc>
        <w:tc>
          <w:tcPr>
            <w:tcW w:type="dxa" w:w="6520"/>
            <w:vAlign w:val="center"/>
          </w:tcPr>
          <w:p>
            <w:r>
              <w:rPr>
                <w:rFonts w:ascii="Carlito" w:hAnsi="Carlito" w:eastAsia="Carlito"/>
                <w:sz w:val="18"/>
              </w:rPr>
              <w:t>Referencia incorrecta a payload en lugar de payload_json.</w:t>
            </w:r>
          </w:p>
        </w:tc>
      </w:tr>
      <w:tr>
        <w:trPr>
          <w:cantSplit/>
        </w:trPr>
        <w:tc>
          <w:tcPr>
            <w:tcW w:type="dxa" w:w="2835"/>
            <w:shd w:fill="F2F2F2"/>
            <w:vAlign w:val="center"/>
          </w:tcPr>
          <w:p>
            <w:r>
              <w:rPr>
                <w:rFonts w:ascii="Carlito" w:hAnsi="Carlito" w:eastAsia="Carlito"/>
                <w:sz w:val="18"/>
              </w:rPr>
              <w:t>2004</w:t>
            </w:r>
          </w:p>
        </w:tc>
        <w:tc>
          <w:tcPr>
            <w:tcW w:type="dxa" w:w="6520"/>
            <w:shd w:fill="F2F2F2"/>
            <w:vAlign w:val="center"/>
          </w:tcPr>
          <w:p>
            <w:r>
              <w:rPr>
                <w:rFonts w:ascii="Carlito" w:hAnsi="Carlito" w:eastAsia="Carlito"/>
                <w:sz w:val="18"/>
              </w:rPr>
              <w:t>Problema de timestamp o formato temporal.</w:t>
            </w:r>
          </w:p>
        </w:tc>
      </w:tr>
      <w:tr>
        <w:trPr>
          <w:cantSplit/>
        </w:trPr>
        <w:tc>
          <w:tcPr>
            <w:tcW w:type="dxa" w:w="2835"/>
            <w:vAlign w:val="center"/>
          </w:tcPr>
          <w:p>
            <w:r>
              <w:rPr>
                <w:rFonts w:ascii="Carlito" w:hAnsi="Carlito" w:eastAsia="Carlito"/>
                <w:sz w:val="18"/>
              </w:rPr>
              <w:t>Aceptado con errores en F2</w:t>
            </w:r>
          </w:p>
        </w:tc>
        <w:tc>
          <w:tcPr>
            <w:tcW w:type="dxa" w:w="6520"/>
            <w:vAlign w:val="center"/>
          </w:tcPr>
          <w:p>
            <w:r>
              <w:rPr>
                <w:rFonts w:ascii="Carlito" w:hAnsi="Carlito" w:eastAsia="Carlito"/>
                <w:sz w:val="18"/>
              </w:rPr>
              <w:t>Revisar desglose de IVA e ImporteTotal.</w:t>
            </w:r>
          </w:p>
        </w:tc>
      </w:tr>
    </w:tbl>
    <w:p>
      <w:pPr>
        <w:spacing w:after="40"/>
      </w:pPr>
    </w:p>
    <w:p>
      <w:pPr>
        <w:pStyle w:val="Heading2"/>
        <w:keepNext/>
      </w:pPr>
      <w:r>
        <w:t>9.5 Rectificativas</w:t>
      </w:r>
    </w:p>
    <w:p>
      <w:pPr>
        <w:pStyle w:val="BodyText"/>
        <w:keepLines w:val="0"/>
        <w:spacing w:after="100" w:line="259" w:lineRule="auto"/>
        <w:ind w:left="0"/>
      </w:pPr>
      <w:r>
        <w:rPr>
          <w:rFonts w:ascii="Carlito" w:hAnsi="Carlito" w:eastAsia="Carlito"/>
          <w:i w:val="0"/>
          <w:sz w:val="21"/>
        </w:rPr>
        <w:t>Cuando existen líneas negativas, el sistema puede solicitar el tipo de origen, serie, número y motivo. La relación con el documento original debe conservarse en históricos y JSON.</w:t>
      </w:r>
    </w:p>
    <w:tbl>
      <w:tblPr>
        <w:tblW w:type="auto" w:w="0"/>
        <w:jc w:val="center"/>
        <w:tblLayout w:type="fixed"/>
        <w:tblLook w:firstColumn="1" w:firstRow="1" w:lastColumn="0" w:lastRow="0" w:noHBand="0" w:noVBand="1" w:val="04A0"/>
      </w:tblPr>
      <w:tblGrid>
        <w:gridCol w:w="4929"/>
        <w:gridCol w:w="4929"/>
      </w:tblGrid>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Tipo de origen correcto: simplificado o normal.</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Serie y número del documento original.</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Cliente coincidente cuando el circuito lo exige.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Motivo de rectificación informado.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Importes y signos correctos.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Registro creado en tablas rectificativas e histórico.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Cola VeriFactu generada sin duplicidad.</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Documento impreso correctamente.</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CASOS SENSIBLES: </w:t>
            </w:r>
            <w:r>
              <w:rPr>
                <w:rFonts w:ascii="Carlito" w:hAnsi="Carlito" w:eastAsia="Carlito"/>
                <w:color w:val="000000"/>
                <w:sz w:val="19"/>
              </w:rPr>
              <w:t>Ventas mixtas, rectificativas manuales sin histórico y documentos aparcados requieren comprobación especial.</w:t>
            </w:r>
          </w:p>
        </w:tc>
      </w:tr>
    </w:tbl>
    <w:p>
      <w:pPr>
        <w:spacing w:after="20"/>
      </w:pPr>
    </w:p>
    <w:p>
      <w:bookmarkStart w:id="12" w:name="cap10"/>
      <w:pPr>
        <w:pStyle w:val="Heading1"/>
        <w:keepNext/>
      </w:pPr>
      <w:r>
        <w:t>10. Dashboard, consultas y estadísticas</w:t>
      </w:r>
      <w:bookmarkEnd w:id="12"/>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ESTADO: </w:t>
            </w:r>
            <w:r>
              <w:rPr>
                <w:rFonts w:ascii="Carlito" w:hAnsi="Carlito" w:eastAsia="Carlito"/>
                <w:color w:val="000000"/>
                <w:sz w:val="19"/>
              </w:rPr>
              <w:t>Dashboard integrado en Ventas. Las gráficas están en proceso de mejora para mostrar valores completos y legibles.</w:t>
            </w:r>
          </w:p>
        </w:tc>
      </w:tr>
    </w:tbl>
    <w:p>
      <w:pPr>
        <w:spacing w:after="20"/>
      </w:pPr>
    </w:p>
    <w:p>
      <w:pPr>
        <w:pStyle w:val="Heading2"/>
        <w:keepNext/>
      </w:pPr>
      <w:r>
        <w:t>10.1 Dashboard de productividad</w:t>
      </w:r>
    </w:p>
    <w:p>
      <w:pPr>
        <w:pStyle w:val="BodyText"/>
        <w:keepLines w:val="0"/>
        <w:spacing w:after="100" w:line="259" w:lineRule="auto"/>
        <w:ind w:left="0"/>
      </w:pPr>
      <w:r>
        <w:rPr>
          <w:rFonts w:ascii="Carlito" w:hAnsi="Carlito" w:eastAsia="Carlito"/>
          <w:i w:val="0"/>
          <w:sz w:val="21"/>
        </w:rPr>
        <w:t>El Dashboard se encuentra en la pestaña Ventas, junto a Proformas. Su pantalla inicial es Dashboard y reúne indicadores y gráficas en seis zonas.</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551"/>
            <w:shd w:fill="1F4E78"/>
            <w:vAlign w:val="center"/>
          </w:tcPr>
          <w:p>
            <w:r>
              <w:rPr>
                <w:rFonts w:ascii="Carlito" w:hAnsi="Carlito" w:eastAsia="Carlito"/>
                <w:b/>
                <w:color w:val="FFFFFF"/>
                <w:sz w:val="18"/>
              </w:rPr>
              <w:t>Zona</w:t>
            </w:r>
          </w:p>
        </w:tc>
        <w:tc>
          <w:tcPr>
            <w:tcW w:type="dxa" w:w="6803"/>
            <w:shd w:fill="1F4E78"/>
            <w:vAlign w:val="center"/>
          </w:tcPr>
          <w:p>
            <w:r>
              <w:rPr>
                <w:rFonts w:ascii="Carlito" w:hAnsi="Carlito" w:eastAsia="Carlito"/>
                <w:b/>
                <w:color w:val="FFFFFF"/>
                <w:sz w:val="18"/>
              </w:rPr>
              <w:t>Contenido</w:t>
            </w:r>
          </w:p>
        </w:tc>
      </w:tr>
      <w:tr>
        <w:trPr>
          <w:cantSplit/>
        </w:trPr>
        <w:tc>
          <w:tcPr>
            <w:tcW w:type="dxa" w:w="2551"/>
            <w:vAlign w:val="center"/>
          </w:tcPr>
          <w:p>
            <w:r>
              <w:rPr>
                <w:rFonts w:ascii="Carlito" w:hAnsi="Carlito" w:eastAsia="Carlito"/>
                <w:sz w:val="18"/>
              </w:rPr>
              <w:t>Formas de pago</w:t>
            </w:r>
          </w:p>
        </w:tc>
        <w:tc>
          <w:tcPr>
            <w:tcW w:type="dxa" w:w="6803"/>
            <w:vAlign w:val="center"/>
          </w:tcPr>
          <w:p>
            <w:r>
              <w:rPr>
                <w:rFonts w:ascii="Carlito" w:hAnsi="Carlito" w:eastAsia="Carlito"/>
                <w:sz w:val="18"/>
              </w:rPr>
              <w:t>Distribución de ventas por método de cobro.</w:t>
            </w:r>
          </w:p>
        </w:tc>
      </w:tr>
      <w:tr>
        <w:trPr>
          <w:cantSplit/>
        </w:trPr>
        <w:tc>
          <w:tcPr>
            <w:tcW w:type="dxa" w:w="2551"/>
            <w:shd w:fill="F2F2F2"/>
            <w:vAlign w:val="center"/>
          </w:tcPr>
          <w:p>
            <w:r>
              <w:rPr>
                <w:rFonts w:ascii="Carlito" w:hAnsi="Carlito" w:eastAsia="Carlito"/>
                <w:sz w:val="18"/>
              </w:rPr>
              <w:t>Top artículos</w:t>
            </w:r>
          </w:p>
        </w:tc>
        <w:tc>
          <w:tcPr>
            <w:tcW w:type="dxa" w:w="6803"/>
            <w:shd w:fill="F2F2F2"/>
            <w:vAlign w:val="center"/>
          </w:tcPr>
          <w:p>
            <w:r>
              <w:rPr>
                <w:rFonts w:ascii="Carlito" w:hAnsi="Carlito" w:eastAsia="Carlito"/>
                <w:sz w:val="18"/>
              </w:rPr>
              <w:t>Artículos con mayor actividad o importe.</w:t>
            </w:r>
          </w:p>
        </w:tc>
      </w:tr>
      <w:tr>
        <w:trPr>
          <w:cantSplit/>
        </w:trPr>
        <w:tc>
          <w:tcPr>
            <w:tcW w:type="dxa" w:w="2551"/>
            <w:vAlign w:val="center"/>
          </w:tcPr>
          <w:p>
            <w:r>
              <w:rPr>
                <w:rFonts w:ascii="Carlito" w:hAnsi="Carlito" w:eastAsia="Carlito"/>
                <w:sz w:val="18"/>
              </w:rPr>
              <w:t>Top familias</w:t>
            </w:r>
          </w:p>
        </w:tc>
        <w:tc>
          <w:tcPr>
            <w:tcW w:type="dxa" w:w="6803"/>
            <w:vAlign w:val="center"/>
          </w:tcPr>
          <w:p>
            <w:r>
              <w:rPr>
                <w:rFonts w:ascii="Carlito" w:hAnsi="Carlito" w:eastAsia="Carlito"/>
                <w:sz w:val="18"/>
              </w:rPr>
              <w:t>Familias con mayor peso en ventas.</w:t>
            </w:r>
          </w:p>
        </w:tc>
      </w:tr>
      <w:tr>
        <w:trPr>
          <w:cantSplit/>
        </w:trPr>
        <w:tc>
          <w:tcPr>
            <w:tcW w:type="dxa" w:w="2551"/>
            <w:shd w:fill="F2F2F2"/>
            <w:vAlign w:val="center"/>
          </w:tcPr>
          <w:p>
            <w:r>
              <w:rPr>
                <w:rFonts w:ascii="Carlito" w:hAnsi="Carlito" w:eastAsia="Carlito"/>
                <w:sz w:val="18"/>
              </w:rPr>
              <w:t>Ventas por horas</w:t>
            </w:r>
          </w:p>
        </w:tc>
        <w:tc>
          <w:tcPr>
            <w:tcW w:type="dxa" w:w="6803"/>
            <w:shd w:fill="F2F2F2"/>
            <w:vAlign w:val="center"/>
          </w:tcPr>
          <w:p>
            <w:r>
              <w:rPr>
                <w:rFonts w:ascii="Carlito" w:hAnsi="Carlito" w:eastAsia="Carlito"/>
                <w:sz w:val="18"/>
              </w:rPr>
              <w:t>Evolución de la actividad durante el día.</w:t>
            </w:r>
          </w:p>
        </w:tc>
      </w:tr>
      <w:tr>
        <w:trPr>
          <w:cantSplit/>
        </w:trPr>
        <w:tc>
          <w:tcPr>
            <w:tcW w:type="dxa" w:w="2551"/>
            <w:vAlign w:val="center"/>
          </w:tcPr>
          <w:p>
            <w:r>
              <w:rPr>
                <w:rFonts w:ascii="Carlito" w:hAnsi="Carlito" w:eastAsia="Carlito"/>
                <w:sz w:val="18"/>
              </w:rPr>
              <w:t>KPI Hoy</w:t>
            </w:r>
          </w:p>
        </w:tc>
        <w:tc>
          <w:tcPr>
            <w:tcW w:type="dxa" w:w="6803"/>
            <w:vAlign w:val="center"/>
          </w:tcPr>
          <w:p>
            <w:r>
              <w:rPr>
                <w:rFonts w:ascii="Carlito" w:hAnsi="Carlito" w:eastAsia="Carlito"/>
                <w:sz w:val="18"/>
              </w:rPr>
              <w:t>Importe vendido en la fecha actual.</w:t>
            </w:r>
          </w:p>
        </w:tc>
      </w:tr>
      <w:tr>
        <w:trPr>
          <w:cantSplit/>
        </w:trPr>
        <w:tc>
          <w:tcPr>
            <w:tcW w:type="dxa" w:w="2551"/>
            <w:shd w:fill="F2F2F2"/>
            <w:vAlign w:val="center"/>
          </w:tcPr>
          <w:p>
            <w:r>
              <w:rPr>
                <w:rFonts w:ascii="Carlito" w:hAnsi="Carlito" w:eastAsia="Carlito"/>
                <w:sz w:val="18"/>
              </w:rPr>
              <w:t>Tickets y ticket medio</w:t>
            </w:r>
          </w:p>
        </w:tc>
        <w:tc>
          <w:tcPr>
            <w:tcW w:type="dxa" w:w="6803"/>
            <w:shd w:fill="F2F2F2"/>
            <w:vAlign w:val="center"/>
          </w:tcPr>
          <w:p>
            <w:r>
              <w:rPr>
                <w:rFonts w:ascii="Carlito" w:hAnsi="Carlito" w:eastAsia="Carlito"/>
                <w:sz w:val="18"/>
              </w:rPr>
              <w:t>Número de operaciones y promedio por venta.</w:t>
            </w:r>
          </w:p>
        </w:tc>
      </w:tr>
    </w:tbl>
    <w:p>
      <w:pPr>
        <w:spacing w:after="40"/>
      </w:pPr>
    </w:p>
    <w:p>
      <w:pPr>
        <w:pStyle w:val="BodyText"/>
        <w:keepLines w:val="0"/>
        <w:spacing w:after="100" w:line="259" w:lineRule="auto"/>
        <w:ind w:left="0"/>
      </w:pPr>
      <w:r>
        <w:rPr>
          <w:rFonts w:ascii="Carlito" w:hAnsi="Carlito" w:eastAsia="Carlito"/>
          <w:i w:val="0"/>
          <w:sz w:val="21"/>
        </w:rPr>
        <w:t>Los valores de las gráficas deben mostrarse siempre de forma clara. No deben quedar cortados por el panel ni omitirse en gráficos donde sean necesarios para interpretar el resultado.</w:t>
      </w: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CRITERIO VISUAL: </w:t>
            </w:r>
            <w:r>
              <w:rPr>
                <w:rFonts w:ascii="Carlito" w:hAnsi="Carlito" w:eastAsia="Carlito"/>
                <w:color w:val="000000"/>
                <w:sz w:val="19"/>
              </w:rPr>
              <w:t>Si una gráfica no permite leer los valores, debe ampliarse el margen, mostrar etiquetas o sustituirse por otro tipo de gráfico más legible.</w:t>
            </w:r>
          </w:p>
        </w:tc>
      </w:tr>
    </w:tbl>
    <w:p>
      <w:pPr>
        <w:spacing w:after="20"/>
      </w:pPr>
    </w:p>
    <w:p>
      <w:pPr>
        <w:pStyle w:val="Heading2"/>
        <w:keepNext/>
      </w:pPr>
      <w:r>
        <w:t>10.2 Período de análisis</w:t>
      </w:r>
    </w:p>
    <w:p>
      <w:pPr>
        <w:pStyle w:val="BodyText"/>
        <w:keepLines w:val="0"/>
        <w:spacing w:after="100" w:line="259" w:lineRule="auto"/>
        <w:ind w:left="0"/>
      </w:pPr>
      <w:r>
        <w:rPr>
          <w:rFonts w:ascii="Carlito" w:hAnsi="Carlito" w:eastAsia="Carlito"/>
          <w:i w:val="0"/>
          <w:sz w:val="21"/>
        </w:rPr>
        <w:t>Para mejorar el rendimiento, el período predeterminado debe ser Hoy. Los períodos guardados o amplios pueden tardar más en ejecutarse, especialmente con un volumen elevado de datos.</w:t>
      </w:r>
    </w:p>
    <w:p>
      <w:pPr>
        <w:pStyle w:val="Heading2"/>
        <w:keepNext/>
      </w:pPr>
      <w:r>
        <w:t>10.3 Consulta libre</w:t>
      </w:r>
    </w:p>
    <w:p>
      <w:pPr>
        <w:pStyle w:val="BodyText"/>
        <w:keepLines w:val="0"/>
        <w:spacing w:after="100" w:line="259" w:lineRule="auto"/>
        <w:ind w:left="0"/>
      </w:pPr>
      <w:r>
        <w:rPr>
          <w:rFonts w:ascii="Carlito" w:hAnsi="Carlito" w:eastAsia="Carlito"/>
          <w:i w:val="0"/>
          <w:sz w:val="21"/>
        </w:rPr>
        <w:t>La consulta libre permite seleccionar tablas y campos o escribir una sentencia SQL. Está limitada a consultas SELECT para evitar modificaciones accidentales.</w:t>
      </w:r>
    </w:p>
    <w:p>
      <w:pPr>
        <w:pStyle w:val="ListBullet"/>
        <w:spacing w:after="40" w:line="240" w:lineRule="auto"/>
      </w:pPr>
      <w:r>
        <w:rPr>
          <w:rFonts w:ascii="Carlito" w:hAnsi="Carlito" w:eastAsia="Carlito"/>
          <w:sz w:val="20"/>
        </w:rPr>
        <w:t>Guardar y abrir consultas .sql.</w:t>
      </w:r>
    </w:p>
    <w:p>
      <w:pPr>
        <w:pStyle w:val="ListBullet"/>
        <w:spacing w:after="40" w:line="240" w:lineRule="auto"/>
      </w:pPr>
      <w:r>
        <w:rPr>
          <w:rFonts w:ascii="Carlito" w:hAnsi="Carlito" w:eastAsia="Carlito"/>
          <w:sz w:val="20"/>
        </w:rPr>
        <w:t>Mostrar BLOB o MEMO de forma legible cuando sea posible.</w:t>
      </w:r>
    </w:p>
    <w:p>
      <w:pPr>
        <w:pStyle w:val="ListBullet"/>
        <w:spacing w:after="40" w:line="240" w:lineRule="auto"/>
      </w:pPr>
      <w:r>
        <w:rPr>
          <w:rFonts w:ascii="Carlito" w:hAnsi="Carlito" w:eastAsia="Carlito"/>
          <w:sz w:val="20"/>
        </w:rPr>
        <w:t>No ejecutar INSERT, UPDATE, DELETE, ALTER o instrucciones equivalentes.</w:t>
      </w:r>
    </w:p>
    <w:p>
      <w:pPr>
        <w:pStyle w:val="ListBullet"/>
        <w:spacing w:after="40" w:line="240" w:lineRule="auto"/>
      </w:pPr>
      <w:r>
        <w:rPr>
          <w:rFonts w:ascii="Carlito" w:hAnsi="Carlito" w:eastAsia="Carlito"/>
          <w:sz w:val="20"/>
        </w:rPr>
        <w:t>Revisar el período y los filtros para evitar consultas demasiado pesadas.</w:t>
      </w:r>
    </w:p>
    <w:p>
      <w:pPr>
        <w:pStyle w:val="Heading2"/>
        <w:keepNext/>
      </w:pPr>
      <w:r>
        <w:t>10.4 Interpretación de descuentos</w:t>
      </w:r>
    </w:p>
    <w:p>
      <w:pPr>
        <w:pStyle w:val="BodyText"/>
        <w:keepLines w:val="0"/>
        <w:spacing w:after="100" w:line="259" w:lineRule="auto"/>
        <w:ind w:left="0"/>
      </w:pPr>
      <w:r>
        <w:rPr>
          <w:rFonts w:ascii="Carlito" w:hAnsi="Carlito" w:eastAsia="Carlito"/>
          <w:i w:val="0"/>
          <w:sz w:val="21"/>
        </w:rPr>
        <w:t>Las estadísticas de precio deben utilizar el precio real vendido después de descuentos. Registrar únicamente el PVP original puede inflar el precio medio y producir márgenes o análisis incorrectos.</w:t>
      </w:r>
    </w:p>
    <w:tbl>
      <w:tblPr>
        <w:tblW w:type="auto" w:w="0"/>
        <w:jc w:val="center"/>
        <w:tblLook w:firstColumn="1" w:firstRow="1" w:lastColumn="0" w:lastRow="0" w:noHBand="0" w:noVBand="1" w:val="04A0"/>
      </w:tblPr>
      <w:tblGrid>
        <w:gridCol w:w="9859"/>
      </w:tblGrid>
      <w:tr>
        <w:trPr>
          <w:cantSplit/>
        </w:trPr>
        <w:tc>
          <w:tcPr>
            <w:tcW w:type="dxa" w:w="9859"/>
            <w:shd w:fill="F2F2F2"/>
            <w:vAlign w:val="center"/>
            <w:tcBorders>
              <w:top w:val="dashed" w:sz="8" w:color="A6A6A6"/>
              <w:left w:val="dashed" w:sz="8" w:color="A6A6A6"/>
              <w:bottom w:val="dashed" w:sz="8" w:color="A6A6A6"/>
              <w:right w:val="dashed" w:sz="8" w:color="A6A6A6"/>
            </w:tcBorders>
          </w:tcPr>
          <w:p>
            <w:pPr>
              <w:jc w:val="center"/>
            </w:pPr>
            <w:r>
              <w:rPr>
                <w:rFonts w:ascii="Carlito" w:hAnsi="Carlito" w:eastAsia="Carlito"/>
                <w:b/>
                <w:color w:val="666666"/>
                <w:sz w:val="20"/>
              </w:rPr>
              <w:t>CAPTURA PENDIENTE</w:t>
              <w:br/>
              <w:t>Dashboard con valores visibles en todas las gráficas</w:t>
            </w:r>
          </w:p>
        </w:tc>
      </w:tr>
    </w:tbl>
    <w:p>
      <w:pPr>
        <w:spacing w:after="40"/>
      </w:pPr>
    </w:p>
    <w:p>
      <w:bookmarkStart w:id="13" w:name="cap11"/>
      <w:pPr>
        <w:pStyle w:val="Heading1"/>
        <w:keepNext/>
      </w:pPr>
      <w:r>
        <w:t>11. Copias de seguridad y mantenimiento</w:t>
      </w:r>
      <w:bookmarkEnd w:id="13"/>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ESTADO: </w:t>
            </w:r>
            <w:r>
              <w:rPr>
                <w:rFonts w:ascii="Carlito" w:hAnsi="Carlito" w:eastAsia="Carlito"/>
                <w:color w:val="000000"/>
                <w:sz w:val="19"/>
              </w:rPr>
              <w:t>Centro de Mantenimiento basado en uCentroMantenimientoFacturLinEx(4).pas.</w:t>
            </w:r>
          </w:p>
        </w:tc>
      </w:tr>
    </w:tbl>
    <w:p>
      <w:pPr>
        <w:spacing w:after="20"/>
      </w:pPr>
    </w:p>
    <w:p>
      <w:pPr>
        <w:pStyle w:val="Heading2"/>
        <w:keepNext/>
      </w:pPr>
      <w:r>
        <w:t>11.1 Política mínima de copias</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1814"/>
            <w:shd w:fill="1F4E78"/>
            <w:vAlign w:val="center"/>
          </w:tcPr>
          <w:p>
            <w:r>
              <w:rPr>
                <w:rFonts w:ascii="Carlito" w:hAnsi="Carlito" w:eastAsia="Carlito"/>
                <w:b/>
                <w:color w:val="FFFFFF"/>
                <w:sz w:val="18"/>
              </w:rPr>
              <w:t>Frecuencia</w:t>
            </w:r>
          </w:p>
        </w:tc>
        <w:tc>
          <w:tcPr>
            <w:tcW w:type="dxa" w:w="4139"/>
            <w:shd w:fill="1F4E78"/>
            <w:vAlign w:val="center"/>
          </w:tcPr>
          <w:p>
            <w:r>
              <w:rPr>
                <w:rFonts w:ascii="Carlito" w:hAnsi="Carlito" w:eastAsia="Carlito"/>
                <w:b/>
                <w:color w:val="FFFFFF"/>
                <w:sz w:val="18"/>
              </w:rPr>
              <w:t>Copia recomendada</w:t>
            </w:r>
          </w:p>
        </w:tc>
        <w:tc>
          <w:tcPr>
            <w:tcW w:type="dxa" w:w="3402"/>
            <w:shd w:fill="1F4E78"/>
            <w:vAlign w:val="center"/>
          </w:tcPr>
          <w:p>
            <w:r>
              <w:rPr>
                <w:rFonts w:ascii="Carlito" w:hAnsi="Carlito" w:eastAsia="Carlito"/>
                <w:b/>
                <w:color w:val="FFFFFF"/>
                <w:sz w:val="18"/>
              </w:rPr>
              <w:t>Conservación</w:t>
            </w:r>
          </w:p>
        </w:tc>
      </w:tr>
      <w:tr>
        <w:trPr>
          <w:cantSplit/>
        </w:trPr>
        <w:tc>
          <w:tcPr>
            <w:tcW w:type="dxa" w:w="1814"/>
            <w:vAlign w:val="center"/>
          </w:tcPr>
          <w:p>
            <w:r>
              <w:rPr>
                <w:rFonts w:ascii="Carlito" w:hAnsi="Carlito" w:eastAsia="Carlito"/>
                <w:sz w:val="18"/>
              </w:rPr>
              <w:t>Diaria</w:t>
            </w:r>
          </w:p>
        </w:tc>
        <w:tc>
          <w:tcPr>
            <w:tcW w:type="dxa" w:w="4139"/>
            <w:vAlign w:val="center"/>
          </w:tcPr>
          <w:p>
            <w:r>
              <w:rPr>
                <w:rFonts w:ascii="Carlito" w:hAnsi="Carlito" w:eastAsia="Carlito"/>
                <w:sz w:val="18"/>
              </w:rPr>
              <w:t>Base de datos y configuraciones esenciales.</w:t>
            </w:r>
          </w:p>
        </w:tc>
        <w:tc>
          <w:tcPr>
            <w:tcW w:type="dxa" w:w="3402"/>
            <w:vAlign w:val="center"/>
          </w:tcPr>
          <w:p>
            <w:r>
              <w:rPr>
                <w:rFonts w:ascii="Carlito" w:hAnsi="Carlito" w:eastAsia="Carlito"/>
                <w:sz w:val="18"/>
              </w:rPr>
              <w:t>Varias copias recientes.</w:t>
            </w:r>
          </w:p>
        </w:tc>
      </w:tr>
      <w:tr>
        <w:trPr>
          <w:cantSplit/>
        </w:trPr>
        <w:tc>
          <w:tcPr>
            <w:tcW w:type="dxa" w:w="1814"/>
            <w:shd w:fill="F2F2F2"/>
            <w:vAlign w:val="center"/>
          </w:tcPr>
          <w:p>
            <w:r>
              <w:rPr>
                <w:rFonts w:ascii="Carlito" w:hAnsi="Carlito" w:eastAsia="Carlito"/>
                <w:sz w:val="18"/>
              </w:rPr>
              <w:t>Semanal</w:t>
            </w:r>
          </w:p>
        </w:tc>
        <w:tc>
          <w:tcPr>
            <w:tcW w:type="dxa" w:w="4139"/>
            <w:shd w:fill="F2F2F2"/>
            <w:vAlign w:val="center"/>
          </w:tcPr>
          <w:p>
            <w:r>
              <w:rPr>
                <w:rFonts w:ascii="Carlito" w:hAnsi="Carlito" w:eastAsia="Carlito"/>
                <w:sz w:val="18"/>
              </w:rPr>
              <w:t>Copia completa del entorno de producción.</w:t>
            </w:r>
          </w:p>
        </w:tc>
        <w:tc>
          <w:tcPr>
            <w:tcW w:type="dxa" w:w="3402"/>
            <w:shd w:fill="F2F2F2"/>
            <w:vAlign w:val="center"/>
          </w:tcPr>
          <w:p>
            <w:r>
              <w:rPr>
                <w:rFonts w:ascii="Carlito" w:hAnsi="Carlito" w:eastAsia="Carlito"/>
                <w:sz w:val="18"/>
              </w:rPr>
              <w:t>Varias semanas.</w:t>
            </w:r>
          </w:p>
        </w:tc>
      </w:tr>
      <w:tr>
        <w:trPr>
          <w:cantSplit/>
        </w:trPr>
        <w:tc>
          <w:tcPr>
            <w:tcW w:type="dxa" w:w="1814"/>
            <w:vAlign w:val="center"/>
          </w:tcPr>
          <w:p>
            <w:r>
              <w:rPr>
                <w:rFonts w:ascii="Carlito" w:hAnsi="Carlito" w:eastAsia="Carlito"/>
                <w:sz w:val="18"/>
              </w:rPr>
              <w:t>Antes de una actualización</w:t>
            </w:r>
          </w:p>
        </w:tc>
        <w:tc>
          <w:tcPr>
            <w:tcW w:type="dxa" w:w="4139"/>
            <w:vAlign w:val="center"/>
          </w:tcPr>
          <w:p>
            <w:r>
              <w:rPr>
                <w:rFonts w:ascii="Carlito" w:hAnsi="Carlito" w:eastAsia="Carlito"/>
                <w:sz w:val="18"/>
              </w:rPr>
              <w:t>Programa, unidades modificadas, recursos y BBDD.</w:t>
            </w:r>
          </w:p>
        </w:tc>
        <w:tc>
          <w:tcPr>
            <w:tcW w:type="dxa" w:w="3402"/>
            <w:vAlign w:val="center"/>
          </w:tcPr>
          <w:p>
            <w:r>
              <w:rPr>
                <w:rFonts w:ascii="Carlito" w:hAnsi="Carlito" w:eastAsia="Carlito"/>
                <w:sz w:val="18"/>
              </w:rPr>
              <w:t>Hasta validar la nueva versión.</w:t>
            </w:r>
          </w:p>
        </w:tc>
      </w:tr>
      <w:tr>
        <w:trPr>
          <w:cantSplit/>
        </w:trPr>
        <w:tc>
          <w:tcPr>
            <w:tcW w:type="dxa" w:w="1814"/>
            <w:shd w:fill="F2F2F2"/>
            <w:vAlign w:val="center"/>
          </w:tcPr>
          <w:p>
            <w:r>
              <w:rPr>
                <w:rFonts w:ascii="Carlito" w:hAnsi="Carlito" w:eastAsia="Carlito"/>
                <w:sz w:val="18"/>
              </w:rPr>
              <w:t>Antes de cambios masivos</w:t>
            </w:r>
          </w:p>
        </w:tc>
        <w:tc>
          <w:tcPr>
            <w:tcW w:type="dxa" w:w="4139"/>
            <w:shd w:fill="F2F2F2"/>
            <w:vAlign w:val="center"/>
          </w:tcPr>
          <w:p>
            <w:r>
              <w:rPr>
                <w:rFonts w:ascii="Carlito" w:hAnsi="Carlito" w:eastAsia="Carlito"/>
                <w:sz w:val="18"/>
              </w:rPr>
              <w:t>BBDD completa.</w:t>
            </w:r>
          </w:p>
        </w:tc>
        <w:tc>
          <w:tcPr>
            <w:tcW w:type="dxa" w:w="3402"/>
            <w:shd w:fill="F2F2F2"/>
            <w:vAlign w:val="center"/>
          </w:tcPr>
          <w:p>
            <w:r>
              <w:rPr>
                <w:rFonts w:ascii="Carlito" w:hAnsi="Carlito" w:eastAsia="Carlito"/>
                <w:sz w:val="18"/>
              </w:rPr>
              <w:t>Hasta comprobar resultados y cierres.</w:t>
            </w:r>
          </w:p>
        </w:tc>
      </w:tr>
    </w:tbl>
    <w:p>
      <w:pPr>
        <w:spacing w:after="40"/>
      </w:pPr>
    </w:p>
    <w:p>
      <w:pPr>
        <w:pStyle w:val="Heading2"/>
        <w:keepNext/>
      </w:pPr>
      <w:r>
        <w:t>11.2 Restauración</w:t>
      </w:r>
    </w:p>
    <w:p>
      <w:pPr>
        <w:pStyle w:val="BodyText"/>
        <w:keepLines w:val="0"/>
        <w:spacing w:after="100" w:line="259" w:lineRule="auto"/>
        <w:ind w:left="0"/>
      </w:pPr>
      <w:r>
        <w:rPr>
          <w:rFonts w:ascii="Carlito" w:hAnsi="Carlito" w:eastAsia="Carlito"/>
          <w:i w:val="0"/>
          <w:sz w:val="21"/>
        </w:rPr>
        <w:t>Restaurar reemplaza o reconstruye datos. Debe realizarse en un entorno controlado, con el programa cerrado y con una copia del estado actual, incluso cuando el estado actual sea defectuoso.</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Identificar la copia correcta y su fecha.</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Comprobar versión del programa y estructura de tablas.</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Crear una copia del estado actual.</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Restaurar en un entorno de prueba cuando sea posible.</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Verificar clientes, artículos, ventas, numeraciones y documentos recientes.</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Pasar a producción únicamente después de validar.</w:t>
      </w:r>
    </w:p>
    <w:p>
      <w:pPr>
        <w:pStyle w:val="Heading2"/>
        <w:keepNext/>
      </w:pPr>
      <w:r>
        <w:t>11.3 Centro de Mantenimiento</w:t>
      </w:r>
    </w:p>
    <w:p>
      <w:pPr>
        <w:pStyle w:val="BodyText"/>
        <w:keepLines w:val="0"/>
        <w:spacing w:after="100" w:line="259" w:lineRule="auto"/>
        <w:ind w:left="0"/>
      </w:pPr>
      <w:r>
        <w:rPr>
          <w:rFonts w:ascii="Carlito" w:hAnsi="Carlito" w:eastAsia="Carlito"/>
          <w:i w:val="0"/>
          <w:sz w:val="21"/>
        </w:rPr>
        <w:t>El Centro de Mantenimiento incorpora información de BBDD, comprobación de tablas, reparación y conversión de motor. Estas operaciones deben estar reservadas a personal con conocimientos y copia previa.</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551"/>
            <w:shd w:fill="1F4E78"/>
            <w:vAlign w:val="center"/>
          </w:tcPr>
          <w:p>
            <w:r>
              <w:rPr>
                <w:rFonts w:ascii="Carlito" w:hAnsi="Carlito" w:eastAsia="Carlito"/>
                <w:b/>
                <w:color w:val="FFFFFF"/>
                <w:sz w:val="18"/>
              </w:rPr>
              <w:t>Herramienta</w:t>
            </w:r>
          </w:p>
        </w:tc>
        <w:tc>
          <w:tcPr>
            <w:tcW w:type="dxa" w:w="6803"/>
            <w:shd w:fill="1F4E78"/>
            <w:vAlign w:val="center"/>
          </w:tcPr>
          <w:p>
            <w:r>
              <w:rPr>
                <w:rFonts w:ascii="Carlito" w:hAnsi="Carlito" w:eastAsia="Carlito"/>
                <w:b/>
                <w:color w:val="FFFFFF"/>
                <w:sz w:val="18"/>
              </w:rPr>
              <w:t>Uso</w:t>
            </w:r>
          </w:p>
        </w:tc>
      </w:tr>
      <w:tr>
        <w:trPr>
          <w:cantSplit/>
        </w:trPr>
        <w:tc>
          <w:tcPr>
            <w:tcW w:type="dxa" w:w="2551"/>
            <w:vAlign w:val="center"/>
          </w:tcPr>
          <w:p>
            <w:r>
              <w:rPr>
                <w:rFonts w:ascii="Carlito" w:hAnsi="Carlito" w:eastAsia="Carlito"/>
                <w:sz w:val="18"/>
              </w:rPr>
              <w:t>Info BBDD</w:t>
            </w:r>
          </w:p>
        </w:tc>
        <w:tc>
          <w:tcPr>
            <w:tcW w:type="dxa" w:w="6803"/>
            <w:vAlign w:val="center"/>
          </w:tcPr>
          <w:p>
            <w:r>
              <w:rPr>
                <w:rFonts w:ascii="Carlito" w:hAnsi="Carlito" w:eastAsia="Carlito"/>
                <w:sz w:val="18"/>
              </w:rPr>
              <w:t>Consulta información general del servidor y tablas.</w:t>
            </w:r>
          </w:p>
        </w:tc>
      </w:tr>
      <w:tr>
        <w:trPr>
          <w:cantSplit/>
        </w:trPr>
        <w:tc>
          <w:tcPr>
            <w:tcW w:type="dxa" w:w="2551"/>
            <w:shd w:fill="F2F2F2"/>
            <w:vAlign w:val="center"/>
          </w:tcPr>
          <w:p>
            <w:r>
              <w:rPr>
                <w:rFonts w:ascii="Carlito" w:hAnsi="Carlito" w:eastAsia="Carlito"/>
                <w:sz w:val="18"/>
              </w:rPr>
              <w:t>Check tablas</w:t>
            </w:r>
          </w:p>
        </w:tc>
        <w:tc>
          <w:tcPr>
            <w:tcW w:type="dxa" w:w="6803"/>
            <w:shd w:fill="F2F2F2"/>
            <w:vAlign w:val="center"/>
          </w:tcPr>
          <w:p>
            <w:r>
              <w:rPr>
                <w:rFonts w:ascii="Carlito" w:hAnsi="Carlito" w:eastAsia="Carlito"/>
                <w:sz w:val="18"/>
              </w:rPr>
              <w:t>Comprueba el estado de las tablas.</w:t>
            </w:r>
          </w:p>
        </w:tc>
      </w:tr>
      <w:tr>
        <w:trPr>
          <w:cantSplit/>
        </w:trPr>
        <w:tc>
          <w:tcPr>
            <w:tcW w:type="dxa" w:w="2551"/>
            <w:vAlign w:val="center"/>
          </w:tcPr>
          <w:p>
            <w:r>
              <w:rPr>
                <w:rFonts w:ascii="Carlito" w:hAnsi="Carlito" w:eastAsia="Carlito"/>
                <w:sz w:val="18"/>
              </w:rPr>
              <w:t>Reparar tablas</w:t>
            </w:r>
          </w:p>
        </w:tc>
        <w:tc>
          <w:tcPr>
            <w:tcW w:type="dxa" w:w="6803"/>
            <w:vAlign w:val="center"/>
          </w:tcPr>
          <w:p>
            <w:r>
              <w:rPr>
                <w:rFonts w:ascii="Carlito" w:hAnsi="Carlito" w:eastAsia="Carlito"/>
                <w:sz w:val="18"/>
              </w:rPr>
              <w:t>Intenta reparar tablas compatibles cuando existen errores.</w:t>
            </w:r>
          </w:p>
        </w:tc>
      </w:tr>
      <w:tr>
        <w:trPr>
          <w:cantSplit/>
        </w:trPr>
        <w:tc>
          <w:tcPr>
            <w:tcW w:type="dxa" w:w="2551"/>
            <w:shd w:fill="F2F2F2"/>
            <w:vAlign w:val="center"/>
          </w:tcPr>
          <w:p>
            <w:r>
              <w:rPr>
                <w:rFonts w:ascii="Carlito" w:hAnsi="Carlito" w:eastAsia="Carlito"/>
                <w:sz w:val="18"/>
              </w:rPr>
              <w:t>Convertir motor</w:t>
            </w:r>
          </w:p>
        </w:tc>
        <w:tc>
          <w:tcPr>
            <w:tcW w:type="dxa" w:w="6803"/>
            <w:shd w:fill="F2F2F2"/>
            <w:vAlign w:val="center"/>
          </w:tcPr>
          <w:p>
            <w:r>
              <w:rPr>
                <w:rFonts w:ascii="Carlito" w:hAnsi="Carlito" w:eastAsia="Carlito"/>
                <w:sz w:val="18"/>
              </w:rPr>
              <w:t>Cambia el motor de almacenamiento de tablas seleccionadas.</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CRÍTICO: </w:t>
            </w:r>
            <w:r>
              <w:rPr>
                <w:rFonts w:ascii="Carlito" w:hAnsi="Carlito" w:eastAsia="Carlito"/>
                <w:color w:val="000000"/>
                <w:sz w:val="19"/>
              </w:rPr>
              <w:t>No ejecutar Reparar o Convertir motor como primera respuesta a cualquier error. Identificar la tabla, revisar el mensaje y conservar una copia completa.</w:t>
            </w:r>
          </w:p>
        </w:tc>
      </w:tr>
    </w:tbl>
    <w:p>
      <w:pPr>
        <w:spacing w:after="20"/>
      </w:pPr>
    </w:p>
    <w:p>
      <w:pPr>
        <w:pStyle w:val="Heading2"/>
        <w:keepNext/>
      </w:pPr>
      <w:r>
        <w:t>11.4 Actualización del programa</w:t>
      </w:r>
    </w:p>
    <w:p>
      <w:pPr>
        <w:pStyle w:val="BodyText"/>
        <w:keepLines w:val="0"/>
        <w:spacing w:after="100" w:line="259" w:lineRule="auto"/>
        <w:ind w:left="0"/>
      </w:pPr>
      <w:r>
        <w:rPr>
          <w:rFonts w:ascii="Carlito" w:hAnsi="Carlito" w:eastAsia="Carlito"/>
          <w:i w:val="0"/>
          <w:sz w:val="21"/>
        </w:rPr>
        <w:t>Las revisiones deben mantenerse en paquetes identificables. El flujo recomendado consiste en conservar la versión estable, aplicar cambios quirúrgicos, compilar por terminal, probar y etiquetar la revisión aceptada.</w:t>
      </w:r>
    </w:p>
    <w:tbl>
      <w:tblPr>
        <w:tblW w:type="auto" w:w="0"/>
        <w:jc w:val="center"/>
        <w:tblLayout w:type="fixed"/>
        <w:tblLook w:firstColumn="1" w:firstRow="1" w:lastColumn="0" w:lastRow="0" w:noHBand="0" w:noVBand="1" w:val="04A0"/>
      </w:tblPr>
      <w:tblGrid>
        <w:gridCol w:w="4929"/>
        <w:gridCol w:w="4929"/>
      </w:tblGrid>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Copia de la versión estable.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Unidades modificadas identificadas.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Compilación completa con lazbuild -B.</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Pruebas funcionales del módulo modificado.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Prueba de funciones relacionadas para detectar efectos laterales.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Paquete ZIP con nombre y versión claros.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Registro de la versión validada.</w:t>
            </w:r>
          </w:p>
        </w:tc>
      </w:tr>
    </w:tbl>
    <w:p>
      <w:pPr>
        <w:spacing w:after="40"/>
      </w:pPr>
    </w:p>
    <w:p>
      <w:bookmarkStart w:id="14" w:name="cap12"/>
      <w:pPr>
        <w:pStyle w:val="Heading1"/>
        <w:keepNext/>
      </w:pPr>
      <w:r>
        <w:t>12. Solución de problemas</w:t>
      </w:r>
      <w:bookmarkEnd w:id="14"/>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USO: </w:t>
            </w:r>
            <w:r>
              <w:rPr>
                <w:rFonts w:ascii="Carlito" w:hAnsi="Carlito" w:eastAsia="Carlito"/>
                <w:color w:val="000000"/>
                <w:sz w:val="19"/>
              </w:rPr>
              <w:t>Este capítulo ofrece un diagnóstico inicial. No sustituye la revisión de la unidad, formulario, SQL o datos implicados.</w:t>
            </w:r>
          </w:p>
        </w:tc>
      </w:tr>
    </w:tbl>
    <w:p>
      <w:pPr>
        <w:spacing w:after="20"/>
      </w:pPr>
    </w:p>
    <w:p>
      <w:pPr>
        <w:pStyle w:val="Heading2"/>
        <w:keepNext/>
      </w:pPr>
      <w:r>
        <w:t>12.1 El formulario abre, pero no muestra datos</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Comprobar que la conexión está activa.</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Revisar filtros, código introducido y período.</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Probar la consulta sin filtro cuando el módulo lo permita.</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Verificar que los campos del dataset coinciden con los nombres utilizados.</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Revisar eventos OnShow, OnActivate, OnClick y métodos de consulta.</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Comprobar si una excepción se está ocultando.</w:t>
      </w:r>
    </w:p>
    <w:p>
      <w:pPr>
        <w:pStyle w:val="Heading2"/>
        <w:keepNext/>
      </w:pPr>
      <w:r>
        <w:t>12.2 Un botón no hace nada</w:t>
      </w:r>
    </w:p>
    <w:p>
      <w:pPr>
        <w:pStyle w:val="ListBullet"/>
        <w:spacing w:after="40" w:line="240" w:lineRule="auto"/>
      </w:pPr>
      <w:r>
        <w:rPr>
          <w:rFonts w:ascii="Carlito" w:hAnsi="Carlito" w:eastAsia="Carlito"/>
          <w:sz w:val="20"/>
        </w:rPr>
        <w:t>Comprobar que tiene evento OnClick asignado en el .lfm.</w:t>
      </w:r>
    </w:p>
    <w:p>
      <w:pPr>
        <w:pStyle w:val="ListBullet"/>
        <w:spacing w:after="40" w:line="240" w:lineRule="auto"/>
      </w:pPr>
      <w:r>
        <w:rPr>
          <w:rFonts w:ascii="Carlito" w:hAnsi="Carlito" w:eastAsia="Carlito"/>
          <w:sz w:val="20"/>
        </w:rPr>
        <w:t>Verificar que no existe otro control superpuesto.</w:t>
      </w:r>
    </w:p>
    <w:p>
      <w:pPr>
        <w:pStyle w:val="ListBullet"/>
        <w:spacing w:after="40" w:line="240" w:lineRule="auto"/>
      </w:pPr>
      <w:r>
        <w:rPr>
          <w:rFonts w:ascii="Carlito" w:hAnsi="Carlito" w:eastAsia="Carlito"/>
          <w:sz w:val="20"/>
        </w:rPr>
        <w:t>Revisar Enabled, Visible y permisos.</w:t>
      </w:r>
    </w:p>
    <w:p>
      <w:pPr>
        <w:pStyle w:val="ListBullet"/>
        <w:spacing w:after="40" w:line="240" w:lineRule="auto"/>
      </w:pPr>
      <w:r>
        <w:rPr>
          <w:rFonts w:ascii="Carlito" w:hAnsi="Carlito" w:eastAsia="Carlito"/>
          <w:sz w:val="20"/>
        </w:rPr>
        <w:t>Añadir trazas o mensajes temporales al inicio del procedimiento.</w:t>
      </w:r>
    </w:p>
    <w:p>
      <w:pPr>
        <w:pStyle w:val="ListBullet"/>
        <w:spacing w:after="40" w:line="240" w:lineRule="auto"/>
      </w:pPr>
      <w:r>
        <w:rPr>
          <w:rFonts w:ascii="Carlito" w:hAnsi="Carlito" w:eastAsia="Carlito"/>
          <w:sz w:val="20"/>
        </w:rPr>
        <w:t>Confirmar que se está compilando y ejecutando la unidad modificada.</w:t>
      </w:r>
    </w:p>
    <w:p>
      <w:pPr>
        <w:pStyle w:val="Heading2"/>
        <w:keepNext/>
      </w:pPr>
      <w:r>
        <w:t>12.3 Problemas de foco o atajos</w:t>
      </w:r>
    </w:p>
    <w:p>
      <w:pPr>
        <w:pStyle w:val="ListBullet"/>
        <w:spacing w:after="40" w:line="240" w:lineRule="auto"/>
      </w:pPr>
      <w:r>
        <w:rPr>
          <w:rFonts w:ascii="Carlito" w:hAnsi="Carlito" w:eastAsia="Carlito"/>
          <w:sz w:val="20"/>
        </w:rPr>
        <w:t>Comprobar KeyPreview del formulario.</w:t>
      </w:r>
    </w:p>
    <w:p>
      <w:pPr>
        <w:pStyle w:val="ListBullet"/>
        <w:spacing w:after="40" w:line="240" w:lineRule="auto"/>
      </w:pPr>
      <w:r>
        <w:rPr>
          <w:rFonts w:ascii="Carlito" w:hAnsi="Carlito" w:eastAsia="Carlito"/>
          <w:sz w:val="20"/>
        </w:rPr>
        <w:t>Revisar OnKeyDown, OnUTF8KeyPress y mensajes de aplicación.</w:t>
      </w:r>
    </w:p>
    <w:p>
      <w:pPr>
        <w:pStyle w:val="ListBullet"/>
        <w:spacing w:after="40" w:line="240" w:lineRule="auto"/>
      </w:pPr>
      <w:r>
        <w:rPr>
          <w:rFonts w:ascii="Carlito" w:hAnsi="Carlito" w:eastAsia="Carlito"/>
          <w:sz w:val="20"/>
        </w:rPr>
        <w:t>Evitar que un control consuma la combinación antes del formulario.</w:t>
      </w:r>
    </w:p>
    <w:p>
      <w:pPr>
        <w:pStyle w:val="ListBullet"/>
        <w:spacing w:after="40" w:line="240" w:lineRule="auto"/>
      </w:pPr>
      <w:r>
        <w:rPr>
          <w:rFonts w:ascii="Carlito" w:hAnsi="Carlito" w:eastAsia="Carlito"/>
          <w:sz w:val="20"/>
        </w:rPr>
        <w:t>Comprobar que el atajo funciona en el panel principal y no solo al totalizar.</w:t>
      </w:r>
    </w:p>
    <w:p>
      <w:pPr>
        <w:pStyle w:val="ListBullet"/>
        <w:spacing w:after="40" w:line="240" w:lineRule="auto"/>
      </w:pPr>
      <w:r>
        <w:rPr>
          <w:rFonts w:ascii="Carlito" w:hAnsi="Carlito" w:eastAsia="Carlito"/>
          <w:sz w:val="20"/>
        </w:rPr>
        <w:t>No modificar los atajos F(x) existentes al añadir combinaciones Ctrl.</w:t>
      </w:r>
    </w:p>
    <w:p>
      <w:pPr>
        <w:pStyle w:val="Heading2"/>
        <w:keepNext/>
      </w:pPr>
      <w:r>
        <w:t>12.4 Texto oculto, negro o superpuesto</w:t>
      </w:r>
    </w:p>
    <w:p>
      <w:pPr>
        <w:pStyle w:val="ListBullet"/>
        <w:spacing w:after="40" w:line="240" w:lineRule="auto"/>
      </w:pPr>
      <w:r>
        <w:rPr>
          <w:rFonts w:ascii="Carlito" w:hAnsi="Carlito" w:eastAsia="Carlito"/>
          <w:sz w:val="20"/>
        </w:rPr>
        <w:t>Revisar Font.Color y ParentColor.</w:t>
      </w:r>
    </w:p>
    <w:p>
      <w:pPr>
        <w:pStyle w:val="ListBullet"/>
        <w:spacing w:after="40" w:line="240" w:lineRule="auto"/>
      </w:pPr>
      <w:r>
        <w:rPr>
          <w:rFonts w:ascii="Carlito" w:hAnsi="Carlito" w:eastAsia="Carlito"/>
          <w:sz w:val="20"/>
        </w:rPr>
        <w:t>Comprobar Z-order con BringToFront o SendToBack cuando sea apropiado.</w:t>
      </w:r>
    </w:p>
    <w:p>
      <w:pPr>
        <w:pStyle w:val="ListBullet"/>
        <w:spacing w:after="40" w:line="240" w:lineRule="auto"/>
      </w:pPr>
      <w:r>
        <w:rPr>
          <w:rFonts w:ascii="Carlito" w:hAnsi="Carlito" w:eastAsia="Carlito"/>
          <w:sz w:val="20"/>
        </w:rPr>
        <w:t>Evitar crear repetidamente labels o mensajes sin destruir los anteriores.</w:t>
      </w:r>
    </w:p>
    <w:p>
      <w:pPr>
        <w:pStyle w:val="ListBullet"/>
        <w:spacing w:after="40" w:line="240" w:lineRule="auto"/>
      </w:pPr>
      <w:r>
        <w:rPr>
          <w:rFonts w:ascii="Carlito" w:hAnsi="Carlito" w:eastAsia="Carlito"/>
          <w:sz w:val="20"/>
        </w:rPr>
        <w:t>Revisar AutoSize, Anchors y Align.</w:t>
      </w:r>
    </w:p>
    <w:p>
      <w:pPr>
        <w:pStyle w:val="ListBullet"/>
        <w:spacing w:after="40" w:line="240" w:lineRule="auto"/>
      </w:pPr>
      <w:r>
        <w:rPr>
          <w:rFonts w:ascii="Carlito" w:hAnsi="Carlito" w:eastAsia="Carlito"/>
          <w:sz w:val="20"/>
        </w:rPr>
        <w:t>Comprobar el resultado en la resolución real del usuario.</w:t>
      </w:r>
    </w:p>
    <w:p>
      <w:pPr>
        <w:pStyle w:val="Heading2"/>
        <w:keepNext/>
      </w:pPr>
      <w:r>
        <w:t>12.5 Errores SQL</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948"/>
            <w:shd w:fill="1F4E78"/>
            <w:vAlign w:val="center"/>
          </w:tcPr>
          <w:p>
            <w:r>
              <w:rPr>
                <w:rFonts w:ascii="Carlito" w:hAnsi="Carlito" w:eastAsia="Carlito"/>
                <w:b/>
                <w:color w:val="FFFFFF"/>
                <w:sz w:val="18"/>
              </w:rPr>
              <w:t>Mensaje</w:t>
            </w:r>
          </w:p>
        </w:tc>
        <w:tc>
          <w:tcPr>
            <w:tcW w:type="dxa" w:w="6406"/>
            <w:shd w:fill="1F4E78"/>
            <w:vAlign w:val="center"/>
          </w:tcPr>
          <w:p>
            <w:r>
              <w:rPr>
                <w:rFonts w:ascii="Carlito" w:hAnsi="Carlito" w:eastAsia="Carlito"/>
                <w:b/>
                <w:color w:val="FFFFFF"/>
                <w:sz w:val="18"/>
              </w:rPr>
              <w:t>Revisión inicial</w:t>
            </w:r>
          </w:p>
        </w:tc>
      </w:tr>
      <w:tr>
        <w:trPr>
          <w:cantSplit/>
        </w:trPr>
        <w:tc>
          <w:tcPr>
            <w:tcW w:type="dxa" w:w="2948"/>
            <w:vAlign w:val="center"/>
          </w:tcPr>
          <w:p>
            <w:r>
              <w:rPr>
                <w:rFonts w:ascii="Carlito" w:hAnsi="Carlito" w:eastAsia="Carlito"/>
                <w:sz w:val="18"/>
              </w:rPr>
              <w:t>Error cerca de AND</w:t>
            </w:r>
          </w:p>
        </w:tc>
        <w:tc>
          <w:tcPr>
            <w:tcW w:type="dxa" w:w="6406"/>
            <w:vAlign w:val="center"/>
          </w:tcPr>
          <w:p>
            <w:r>
              <w:rPr>
                <w:rFonts w:ascii="Carlito" w:hAnsi="Carlito" w:eastAsia="Carlito"/>
                <w:sz w:val="18"/>
              </w:rPr>
              <w:t>Comprobar WHERE, parámetros vacíos y concatenación de condiciones.</w:t>
            </w:r>
          </w:p>
        </w:tc>
      </w:tr>
      <w:tr>
        <w:trPr>
          <w:cantSplit/>
        </w:trPr>
        <w:tc>
          <w:tcPr>
            <w:tcW w:type="dxa" w:w="2948"/>
            <w:shd w:fill="F2F2F2"/>
            <w:vAlign w:val="center"/>
          </w:tcPr>
          <w:p>
            <w:r>
              <w:rPr>
                <w:rFonts w:ascii="Carlito" w:hAnsi="Carlito" w:eastAsia="Carlito"/>
                <w:sz w:val="18"/>
              </w:rPr>
              <w:t>Unknown column</w:t>
            </w:r>
          </w:p>
        </w:tc>
        <w:tc>
          <w:tcPr>
            <w:tcW w:type="dxa" w:w="6406"/>
            <w:shd w:fill="F2F2F2"/>
            <w:vAlign w:val="center"/>
          </w:tcPr>
          <w:p>
            <w:r>
              <w:rPr>
                <w:rFonts w:ascii="Carlito" w:hAnsi="Carlito" w:eastAsia="Carlito"/>
                <w:sz w:val="18"/>
              </w:rPr>
              <w:t>Revisar nombre de campo, alias y estructura real de la tabla.</w:t>
            </w:r>
          </w:p>
        </w:tc>
      </w:tr>
      <w:tr>
        <w:trPr>
          <w:cantSplit/>
        </w:trPr>
        <w:tc>
          <w:tcPr>
            <w:tcW w:type="dxa" w:w="2948"/>
            <w:vAlign w:val="center"/>
          </w:tcPr>
          <w:p>
            <w:r>
              <w:rPr>
                <w:rFonts w:ascii="Carlito" w:hAnsi="Carlito" w:eastAsia="Carlito"/>
                <w:sz w:val="18"/>
              </w:rPr>
              <w:t>Illegal mix of collations</w:t>
            </w:r>
          </w:p>
        </w:tc>
        <w:tc>
          <w:tcPr>
            <w:tcW w:type="dxa" w:w="6406"/>
            <w:vAlign w:val="center"/>
          </w:tcPr>
          <w:p>
            <w:r>
              <w:rPr>
                <w:rFonts w:ascii="Carlito" w:hAnsi="Carlito" w:eastAsia="Carlito"/>
                <w:sz w:val="18"/>
              </w:rPr>
              <w:t>Revisar charset y collation de las columnas comparadas.</w:t>
            </w:r>
          </w:p>
        </w:tc>
      </w:tr>
      <w:tr>
        <w:trPr>
          <w:cantSplit/>
        </w:trPr>
        <w:tc>
          <w:tcPr>
            <w:tcW w:type="dxa" w:w="2948"/>
            <w:shd w:fill="F2F2F2"/>
            <w:vAlign w:val="center"/>
          </w:tcPr>
          <w:p>
            <w:r>
              <w:rPr>
                <w:rFonts w:ascii="Carlito" w:hAnsi="Carlito" w:eastAsia="Carlito"/>
                <w:sz w:val="18"/>
              </w:rPr>
              <w:t>No devuelve filas</w:t>
            </w:r>
          </w:p>
        </w:tc>
        <w:tc>
          <w:tcPr>
            <w:tcW w:type="dxa" w:w="6406"/>
            <w:shd w:fill="F2F2F2"/>
            <w:vAlign w:val="center"/>
          </w:tcPr>
          <w:p>
            <w:r>
              <w:rPr>
                <w:rFonts w:ascii="Carlito" w:hAnsi="Carlito" w:eastAsia="Carlito"/>
                <w:sz w:val="18"/>
              </w:rPr>
              <w:t>Mostrar la SQL final y ejecutar con los mismos parámetros.</w:t>
            </w:r>
          </w:p>
        </w:tc>
      </w:tr>
      <w:tr>
        <w:trPr>
          <w:cantSplit/>
        </w:trPr>
        <w:tc>
          <w:tcPr>
            <w:tcW w:type="dxa" w:w="2948"/>
            <w:vAlign w:val="center"/>
          </w:tcPr>
          <w:p>
            <w:r>
              <w:rPr>
                <w:rFonts w:ascii="Carlito" w:hAnsi="Carlito" w:eastAsia="Carlito"/>
                <w:sz w:val="18"/>
              </w:rPr>
              <w:t>Duplicidad</w:t>
            </w:r>
          </w:p>
        </w:tc>
        <w:tc>
          <w:tcPr>
            <w:tcW w:type="dxa" w:w="6406"/>
            <w:vAlign w:val="center"/>
          </w:tcPr>
          <w:p>
            <w:r>
              <w:rPr>
                <w:rFonts w:ascii="Carlito" w:hAnsi="Carlito" w:eastAsia="Carlito"/>
                <w:sz w:val="18"/>
              </w:rPr>
              <w:t>Revisar clave primaria, serie/número y operaciones repetidas.</w:t>
            </w:r>
          </w:p>
        </w:tc>
      </w:tr>
    </w:tbl>
    <w:p>
      <w:pPr>
        <w:spacing w:after="40"/>
      </w:pPr>
    </w:p>
    <w:p>
      <w:pPr>
        <w:pStyle w:val="Heading2"/>
        <w:keepNext/>
      </w:pPr>
      <w:r>
        <w:t>12.6 Errores de compilación frecuentes</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3572"/>
            <w:shd w:fill="1F4E78"/>
            <w:vAlign w:val="center"/>
          </w:tcPr>
          <w:p>
            <w:r>
              <w:rPr>
                <w:rFonts w:ascii="Carlito" w:hAnsi="Carlito" w:eastAsia="Carlito"/>
                <w:b/>
                <w:color w:val="FFFFFF"/>
                <w:sz w:val="18"/>
              </w:rPr>
              <w:t>Error</w:t>
            </w:r>
          </w:p>
        </w:tc>
        <w:tc>
          <w:tcPr>
            <w:tcW w:type="dxa" w:w="5783"/>
            <w:shd w:fill="1F4E78"/>
            <w:vAlign w:val="center"/>
          </w:tcPr>
          <w:p>
            <w:r>
              <w:rPr>
                <w:rFonts w:ascii="Carlito" w:hAnsi="Carlito" w:eastAsia="Carlito"/>
                <w:b/>
                <w:color w:val="FFFFFF"/>
                <w:sz w:val="18"/>
              </w:rPr>
              <w:t>Causa habitual</w:t>
            </w:r>
          </w:p>
        </w:tc>
      </w:tr>
      <w:tr>
        <w:trPr>
          <w:cantSplit/>
        </w:trPr>
        <w:tc>
          <w:tcPr>
            <w:tcW w:type="dxa" w:w="3572"/>
            <w:vAlign w:val="center"/>
          </w:tcPr>
          <w:p>
            <w:r>
              <w:rPr>
                <w:rFonts w:ascii="Carlito" w:hAnsi="Carlito" w:eastAsia="Carlito"/>
                <w:sz w:val="18"/>
              </w:rPr>
              <w:t>Identifier not found Self</w:t>
            </w:r>
          </w:p>
        </w:tc>
        <w:tc>
          <w:tcPr>
            <w:tcW w:type="dxa" w:w="5783"/>
            <w:vAlign w:val="center"/>
          </w:tcPr>
          <w:p>
            <w:r>
              <w:rPr>
                <w:rFonts w:ascii="Carlito" w:hAnsi="Carlito" w:eastAsia="Carlito"/>
                <w:sz w:val="18"/>
              </w:rPr>
              <w:t>Código situado fuera de un método de instancia o referencia incorrecta.</w:t>
            </w:r>
          </w:p>
        </w:tc>
      </w:tr>
      <w:tr>
        <w:trPr>
          <w:cantSplit/>
        </w:trPr>
        <w:tc>
          <w:tcPr>
            <w:tcW w:type="dxa" w:w="3572"/>
            <w:shd w:fill="F2F2F2"/>
            <w:vAlign w:val="center"/>
          </w:tcPr>
          <w:p>
            <w:r>
              <w:rPr>
                <w:rFonts w:ascii="Carlito" w:hAnsi="Carlito" w:eastAsia="Carlito"/>
                <w:sz w:val="18"/>
              </w:rPr>
              <w:t>Identifier idents no member ParentColor</w:t>
            </w:r>
          </w:p>
        </w:tc>
        <w:tc>
          <w:tcPr>
            <w:tcW w:type="dxa" w:w="5783"/>
            <w:shd w:fill="F2F2F2"/>
            <w:vAlign w:val="center"/>
          </w:tcPr>
          <w:p>
            <w:r>
              <w:rPr>
                <w:rFonts w:ascii="Carlito" w:hAnsi="Carlito" w:eastAsia="Carlito"/>
                <w:sz w:val="18"/>
              </w:rPr>
              <w:t>Propiedad no disponible para ese componente o clase.</w:t>
            </w:r>
          </w:p>
        </w:tc>
      </w:tr>
      <w:tr>
        <w:trPr>
          <w:cantSplit/>
        </w:trPr>
        <w:tc>
          <w:tcPr>
            <w:tcW w:type="dxa" w:w="3572"/>
            <w:vAlign w:val="center"/>
          </w:tcPr>
          <w:p>
            <w:r>
              <w:rPr>
                <w:rFonts w:ascii="Carlito" w:hAnsi="Carlito" w:eastAsia="Carlito"/>
                <w:sz w:val="18"/>
              </w:rPr>
              <w:t>Fields cannot appear after a method</w:t>
            </w:r>
          </w:p>
        </w:tc>
        <w:tc>
          <w:tcPr>
            <w:tcW w:type="dxa" w:w="5783"/>
            <w:vAlign w:val="center"/>
          </w:tcPr>
          <w:p>
            <w:r>
              <w:rPr>
                <w:rFonts w:ascii="Carlito" w:hAnsi="Carlito" w:eastAsia="Carlito"/>
                <w:sz w:val="18"/>
              </w:rPr>
              <w:t>Declaración de campos colocada después de métodos en la clase.</w:t>
            </w:r>
          </w:p>
        </w:tc>
      </w:tr>
      <w:tr>
        <w:trPr>
          <w:cantSplit/>
        </w:trPr>
        <w:tc>
          <w:tcPr>
            <w:tcW w:type="dxa" w:w="3572"/>
            <w:shd w:fill="F2F2F2"/>
            <w:vAlign w:val="center"/>
          </w:tcPr>
          <w:p>
            <w:r>
              <w:rPr>
                <w:rFonts w:ascii="Carlito" w:hAnsi="Carlito" w:eastAsia="Carlito"/>
                <w:sz w:val="18"/>
              </w:rPr>
              <w:t>Redeclaration en Kotlin</w:t>
            </w:r>
          </w:p>
        </w:tc>
        <w:tc>
          <w:tcPr>
            <w:tcW w:type="dxa" w:w="5783"/>
            <w:shd w:fill="F2F2F2"/>
            <w:vAlign w:val="center"/>
          </w:tcPr>
          <w:p>
            <w:r>
              <w:rPr>
                <w:rFonts w:ascii="Carlito" w:hAnsi="Carlito" w:eastAsia="Carlito"/>
                <w:sz w:val="18"/>
              </w:rPr>
              <w:t>Clase o archivo duplicado en el proyecto Android.</w:t>
            </w:r>
          </w:p>
        </w:tc>
      </w:tr>
      <w:tr>
        <w:trPr>
          <w:cantSplit/>
        </w:trPr>
        <w:tc>
          <w:tcPr>
            <w:tcW w:type="dxa" w:w="3572"/>
            <w:vAlign w:val="center"/>
          </w:tcPr>
          <w:p>
            <w:r>
              <w:rPr>
                <w:rFonts w:ascii="Carlito" w:hAnsi="Carlito" w:eastAsia="Carlito"/>
                <w:sz w:val="18"/>
              </w:rPr>
              <w:t>Unidad no encontrada</w:t>
            </w:r>
          </w:p>
        </w:tc>
        <w:tc>
          <w:tcPr>
            <w:tcW w:type="dxa" w:w="5783"/>
            <w:vAlign w:val="center"/>
          </w:tcPr>
          <w:p>
            <w:r>
              <w:rPr>
                <w:rFonts w:ascii="Carlito" w:hAnsi="Carlito" w:eastAsia="Carlito"/>
                <w:sz w:val="18"/>
              </w:rPr>
              <w:t>Ruta no incluida en el proyecto o en las opciones de compilación.</w:t>
            </w:r>
          </w:p>
        </w:tc>
      </w:tr>
    </w:tbl>
    <w:p>
      <w:pPr>
        <w:spacing w:after="40"/>
      </w:pPr>
    </w:p>
    <w:p>
      <w:pPr>
        <w:pStyle w:val="Heading2"/>
        <w:keepNext/>
      </w:pPr>
      <w:r>
        <w:t>12.7 Información que debe recopilarse</w:t>
      </w:r>
    </w:p>
    <w:tbl>
      <w:tblPr>
        <w:tblW w:type="auto" w:w="0"/>
        <w:jc w:val="center"/>
        <w:tblLayout w:type="fixed"/>
        <w:tblLook w:firstColumn="1" w:firstRow="1" w:lastColumn="0" w:lastRow="0" w:noHBand="0" w:noVBand="1" w:val="04A0"/>
      </w:tblPr>
      <w:tblGrid>
        <w:gridCol w:w="4929"/>
        <w:gridCol w:w="4929"/>
      </w:tblGrid>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Mensaje completo del error.</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Acción exacta que lo provoca.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Unidad .pas implicada.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Formulario .lfm correspondiente.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SQL final y valores de parámetros cuando exista consulta.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Captura de pantalla si es un problema visual.</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Versión estable de referencia y revisión que falla.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Resultado de compilación con ruta y número de línea.</w:t>
            </w:r>
          </w:p>
        </w:tc>
      </w:tr>
    </w:tbl>
    <w:p>
      <w:pPr>
        <w:spacing w:after="40"/>
      </w:pPr>
    </w:p>
    <w:p>
      <w:bookmarkStart w:id="15" w:name="cap13"/>
      <w:pPr>
        <w:pStyle w:val="Heading1"/>
        <w:keepNext/>
      </w:pPr>
      <w:r>
        <w:t>13. Anexos y referencia rápida</w:t>
      </w:r>
      <w:bookmarkEnd w:id="15"/>
    </w:p>
    <w:p>
      <w:pPr>
        <w:pStyle w:val="Heading2"/>
        <w:keepNext/>
      </w:pPr>
      <w:r>
        <w:t>13.1 Atajos confirmados</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2381"/>
            <w:shd w:fill="1F4E78"/>
            <w:vAlign w:val="center"/>
          </w:tcPr>
          <w:p>
            <w:r>
              <w:rPr>
                <w:rFonts w:ascii="Carlito" w:hAnsi="Carlito" w:eastAsia="Carlito"/>
                <w:b/>
                <w:color w:val="FFFFFF"/>
                <w:sz w:val="18"/>
              </w:rPr>
              <w:t>Módulo</w:t>
            </w:r>
          </w:p>
        </w:tc>
        <w:tc>
          <w:tcPr>
            <w:tcW w:type="dxa" w:w="1984"/>
            <w:shd w:fill="1F4E78"/>
            <w:vAlign w:val="center"/>
          </w:tcPr>
          <w:p>
            <w:r>
              <w:rPr>
                <w:rFonts w:ascii="Carlito" w:hAnsi="Carlito" w:eastAsia="Carlito"/>
                <w:b/>
                <w:color w:val="FFFFFF"/>
                <w:sz w:val="18"/>
              </w:rPr>
              <w:t>Atajo</w:t>
            </w:r>
          </w:p>
        </w:tc>
        <w:tc>
          <w:tcPr>
            <w:tcW w:type="dxa" w:w="4989"/>
            <w:shd w:fill="1F4E78"/>
            <w:vAlign w:val="center"/>
          </w:tcPr>
          <w:p>
            <w:r>
              <w:rPr>
                <w:rFonts w:ascii="Carlito" w:hAnsi="Carlito" w:eastAsia="Carlito"/>
                <w:b/>
                <w:color w:val="FFFFFF"/>
                <w:sz w:val="18"/>
              </w:rPr>
              <w:t>Acción</w:t>
            </w:r>
          </w:p>
        </w:tc>
      </w:tr>
      <w:tr>
        <w:trPr>
          <w:cantSplit/>
        </w:trPr>
        <w:tc>
          <w:tcPr>
            <w:tcW w:type="dxa" w:w="2381"/>
            <w:vAlign w:val="center"/>
          </w:tcPr>
          <w:p>
            <w:r>
              <w:rPr>
                <w:rFonts w:ascii="Carlito" w:hAnsi="Carlito" w:eastAsia="Carlito"/>
                <w:sz w:val="18"/>
              </w:rPr>
              <w:t>General</w:t>
            </w:r>
          </w:p>
        </w:tc>
        <w:tc>
          <w:tcPr>
            <w:tcW w:type="dxa" w:w="1984"/>
            <w:vAlign w:val="center"/>
          </w:tcPr>
          <w:p>
            <w:r>
              <w:rPr>
                <w:rFonts w:ascii="Carlito" w:hAnsi="Carlito" w:eastAsia="Carlito"/>
                <w:sz w:val="18"/>
              </w:rPr>
              <w:t>ESC</w:t>
            </w:r>
          </w:p>
        </w:tc>
        <w:tc>
          <w:tcPr>
            <w:tcW w:type="dxa" w:w="4989"/>
            <w:vAlign w:val="center"/>
          </w:tcPr>
          <w:p>
            <w:r>
              <w:rPr>
                <w:rFonts w:ascii="Carlito" w:hAnsi="Carlito" w:eastAsia="Carlito"/>
                <w:sz w:val="18"/>
              </w:rPr>
              <w:t>Cerrar página principal o cancelar primero el elemento auxiliar.</w:t>
            </w:r>
          </w:p>
        </w:tc>
      </w:tr>
      <w:tr>
        <w:trPr>
          <w:cantSplit/>
        </w:trPr>
        <w:tc>
          <w:tcPr>
            <w:tcW w:type="dxa" w:w="2381"/>
            <w:shd w:fill="F2F2F2"/>
            <w:vAlign w:val="center"/>
          </w:tcPr>
          <w:p>
            <w:r>
              <w:rPr>
                <w:rFonts w:ascii="Carlito" w:hAnsi="Carlito" w:eastAsia="Carlito"/>
                <w:sz w:val="18"/>
              </w:rPr>
              <w:t>Ventas</w:t>
            </w:r>
          </w:p>
        </w:tc>
        <w:tc>
          <w:tcPr>
            <w:tcW w:type="dxa" w:w="1984"/>
            <w:shd w:fill="F2F2F2"/>
            <w:vAlign w:val="center"/>
          </w:tcPr>
          <w:p>
            <w:r>
              <w:rPr>
                <w:rFonts w:ascii="Carlito" w:hAnsi="Carlito" w:eastAsia="Carlito"/>
                <w:sz w:val="18"/>
              </w:rPr>
              <w:t>Ctrl + O</w:t>
            </w:r>
          </w:p>
        </w:tc>
        <w:tc>
          <w:tcPr>
            <w:tcW w:type="dxa" w:w="4989"/>
            <w:shd w:fill="F2F2F2"/>
            <w:vAlign w:val="center"/>
          </w:tcPr>
          <w:p>
            <w:r>
              <w:rPr>
                <w:rFonts w:ascii="Carlito" w:hAnsi="Carlito" w:eastAsia="Carlito"/>
                <w:sz w:val="18"/>
              </w:rPr>
              <w:t>Código de cliente.</w:t>
            </w:r>
          </w:p>
        </w:tc>
      </w:tr>
      <w:tr>
        <w:trPr>
          <w:cantSplit/>
        </w:trPr>
        <w:tc>
          <w:tcPr>
            <w:tcW w:type="dxa" w:w="2381"/>
            <w:vAlign w:val="center"/>
          </w:tcPr>
          <w:p>
            <w:r>
              <w:rPr>
                <w:rFonts w:ascii="Carlito" w:hAnsi="Carlito" w:eastAsia="Carlito"/>
                <w:sz w:val="18"/>
              </w:rPr>
              <w:t>Ventas</w:t>
            </w:r>
          </w:p>
        </w:tc>
        <w:tc>
          <w:tcPr>
            <w:tcW w:type="dxa" w:w="1984"/>
            <w:vAlign w:val="center"/>
          </w:tcPr>
          <w:p>
            <w:r>
              <w:rPr>
                <w:rFonts w:ascii="Carlito" w:hAnsi="Carlito" w:eastAsia="Carlito"/>
                <w:sz w:val="18"/>
              </w:rPr>
              <w:t>Ctrl + U</w:t>
            </w:r>
          </w:p>
        </w:tc>
        <w:tc>
          <w:tcPr>
            <w:tcW w:type="dxa" w:w="4989"/>
            <w:vAlign w:val="center"/>
          </w:tcPr>
          <w:p>
            <w:r>
              <w:rPr>
                <w:rFonts w:ascii="Carlito" w:hAnsi="Carlito" w:eastAsia="Carlito"/>
                <w:sz w:val="18"/>
              </w:rPr>
              <w:t>Nombre de cliente.</w:t>
            </w:r>
          </w:p>
        </w:tc>
      </w:tr>
      <w:tr>
        <w:trPr>
          <w:cantSplit/>
        </w:trPr>
        <w:tc>
          <w:tcPr>
            <w:tcW w:type="dxa" w:w="2381"/>
            <w:shd w:fill="F2F2F2"/>
            <w:vAlign w:val="center"/>
          </w:tcPr>
          <w:p>
            <w:r>
              <w:rPr>
                <w:rFonts w:ascii="Carlito" w:hAnsi="Carlito" w:eastAsia="Carlito"/>
                <w:sz w:val="18"/>
              </w:rPr>
              <w:t>Ventas</w:t>
            </w:r>
          </w:p>
        </w:tc>
        <w:tc>
          <w:tcPr>
            <w:tcW w:type="dxa" w:w="1984"/>
            <w:shd w:fill="F2F2F2"/>
            <w:vAlign w:val="center"/>
          </w:tcPr>
          <w:p>
            <w:r>
              <w:rPr>
                <w:rFonts w:ascii="Carlito" w:hAnsi="Carlito" w:eastAsia="Carlito"/>
                <w:sz w:val="18"/>
              </w:rPr>
              <w:t>Ctrl + N</w:t>
            </w:r>
          </w:p>
        </w:tc>
        <w:tc>
          <w:tcPr>
            <w:tcW w:type="dxa" w:w="4989"/>
            <w:shd w:fill="F2F2F2"/>
            <w:vAlign w:val="center"/>
          </w:tcPr>
          <w:p>
            <w:r>
              <w:rPr>
                <w:rFonts w:ascii="Carlito" w:hAnsi="Carlito" w:eastAsia="Carlito"/>
                <w:sz w:val="18"/>
              </w:rPr>
              <w:t>Cliente nuevo / función asociada según revisión estable.</w:t>
            </w:r>
          </w:p>
        </w:tc>
      </w:tr>
      <w:tr>
        <w:trPr>
          <w:cantSplit/>
        </w:trPr>
        <w:tc>
          <w:tcPr>
            <w:tcW w:type="dxa" w:w="2381"/>
            <w:vAlign w:val="center"/>
          </w:tcPr>
          <w:p>
            <w:r>
              <w:rPr>
                <w:rFonts w:ascii="Carlito" w:hAnsi="Carlito" w:eastAsia="Carlito"/>
                <w:sz w:val="18"/>
              </w:rPr>
              <w:t>Formularios</w:t>
            </w:r>
          </w:p>
        </w:tc>
        <w:tc>
          <w:tcPr>
            <w:tcW w:type="dxa" w:w="1984"/>
            <w:vAlign w:val="center"/>
          </w:tcPr>
          <w:p>
            <w:r>
              <w:rPr>
                <w:rFonts w:ascii="Carlito" w:hAnsi="Carlito" w:eastAsia="Carlito"/>
                <w:sz w:val="18"/>
              </w:rPr>
              <w:t>TAB / Mayús+TAB</w:t>
            </w:r>
          </w:p>
        </w:tc>
        <w:tc>
          <w:tcPr>
            <w:tcW w:type="dxa" w:w="4989"/>
            <w:vAlign w:val="center"/>
          </w:tcPr>
          <w:p>
            <w:r>
              <w:rPr>
                <w:rFonts w:ascii="Carlito" w:hAnsi="Carlito" w:eastAsia="Carlito"/>
                <w:sz w:val="18"/>
              </w:rPr>
              <w:t>Avanzar o retroceder por el orden de tabulación.</w:t>
            </w:r>
          </w:p>
        </w:tc>
      </w:tr>
      <w:tr>
        <w:trPr>
          <w:cantSplit/>
        </w:trPr>
        <w:tc>
          <w:tcPr>
            <w:tcW w:type="dxa" w:w="2381"/>
            <w:shd w:fill="F2F2F2"/>
            <w:vAlign w:val="center"/>
          </w:tcPr>
          <w:p>
            <w:r>
              <w:rPr>
                <w:rFonts w:ascii="Carlito" w:hAnsi="Carlito" w:eastAsia="Carlito"/>
                <w:sz w:val="18"/>
              </w:rPr>
              <w:t>LibreOffice</w:t>
            </w:r>
          </w:p>
        </w:tc>
        <w:tc>
          <w:tcPr>
            <w:tcW w:type="dxa" w:w="1984"/>
            <w:shd w:fill="F2F2F2"/>
            <w:vAlign w:val="center"/>
          </w:tcPr>
          <w:p>
            <w:r>
              <w:rPr>
                <w:rFonts w:ascii="Carlito" w:hAnsi="Carlito" w:eastAsia="Carlito"/>
                <w:sz w:val="18"/>
              </w:rPr>
              <w:t>F5</w:t>
            </w:r>
          </w:p>
        </w:tc>
        <w:tc>
          <w:tcPr>
            <w:tcW w:type="dxa" w:w="4989"/>
            <w:shd w:fill="F2F2F2"/>
            <w:vAlign w:val="center"/>
          </w:tcPr>
          <w:p>
            <w:r>
              <w:rPr>
                <w:rFonts w:ascii="Carlito" w:hAnsi="Carlito" w:eastAsia="Carlito"/>
                <w:sz w:val="18"/>
              </w:rPr>
              <w:t>Abrir Navegador para desplazarse por el manual.</w:t>
            </w:r>
          </w:p>
        </w:tc>
      </w:tr>
    </w:tbl>
    <w:p>
      <w:pPr>
        <w:spacing w:after="40"/>
      </w:pPr>
    </w:p>
    <w:p>
      <w:pPr>
        <w:pStyle w:val="Heading2"/>
        <w:keepNext/>
      </w:pPr>
      <w:r>
        <w:t>13.2 Tablas y campos de referencia</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551"/>
            <w:shd w:fill="1F4E78"/>
            <w:vAlign w:val="center"/>
          </w:tcPr>
          <w:p>
            <w:r>
              <w:rPr>
                <w:rFonts w:ascii="Carlito" w:hAnsi="Carlito" w:eastAsia="Carlito"/>
                <w:b/>
                <w:color w:val="FFFFFF"/>
                <w:sz w:val="17"/>
              </w:rPr>
              <w:t>Tabla / grupo</w:t>
            </w:r>
          </w:p>
        </w:tc>
        <w:tc>
          <w:tcPr>
            <w:tcW w:type="dxa" w:w="6803"/>
            <w:shd w:fill="1F4E78"/>
            <w:vAlign w:val="center"/>
          </w:tcPr>
          <w:p>
            <w:r>
              <w:rPr>
                <w:rFonts w:ascii="Carlito" w:hAnsi="Carlito" w:eastAsia="Carlito"/>
                <w:b/>
                <w:color w:val="FFFFFF"/>
                <w:sz w:val="17"/>
              </w:rPr>
              <w:t>Campos principales</w:t>
            </w:r>
          </w:p>
        </w:tc>
      </w:tr>
      <w:tr>
        <w:trPr>
          <w:cantSplit/>
        </w:trPr>
        <w:tc>
          <w:tcPr>
            <w:tcW w:type="dxa" w:w="2551"/>
            <w:vAlign w:val="center"/>
          </w:tcPr>
          <w:p>
            <w:r>
              <w:rPr>
                <w:rFonts w:ascii="Carlito" w:hAnsi="Carlito" w:eastAsia="Carlito"/>
                <w:sz w:val="17"/>
              </w:rPr>
              <w:t>factuc+tienda</w:t>
            </w:r>
          </w:p>
        </w:tc>
        <w:tc>
          <w:tcPr>
            <w:tcW w:type="dxa" w:w="6803"/>
            <w:vAlign w:val="center"/>
          </w:tcPr>
          <w:p>
            <w:r>
              <w:rPr>
                <w:rFonts w:ascii="Carlito" w:hAnsi="Carlito" w:eastAsia="Carlito"/>
                <w:sz w:val="17"/>
              </w:rPr>
              <w:t>FC0 cliente, FC1 fecha, FC2 serie, FC3 número, FC8 base, FC9 total.</w:t>
            </w:r>
          </w:p>
        </w:tc>
      </w:tr>
      <w:tr>
        <w:trPr>
          <w:cantSplit/>
        </w:trPr>
        <w:tc>
          <w:tcPr>
            <w:tcW w:type="dxa" w:w="2551"/>
            <w:shd w:fill="F2F2F2"/>
            <w:vAlign w:val="center"/>
          </w:tcPr>
          <w:p>
            <w:r>
              <w:rPr>
                <w:rFonts w:ascii="Carlito" w:hAnsi="Carlito" w:eastAsia="Carlito"/>
                <w:sz w:val="17"/>
              </w:rPr>
              <w:t>factud+tienda</w:t>
            </w:r>
          </w:p>
        </w:tc>
        <w:tc>
          <w:tcPr>
            <w:tcW w:type="dxa" w:w="6803"/>
            <w:shd w:fill="F2F2F2"/>
            <w:vAlign w:val="center"/>
          </w:tcPr>
          <w:p>
            <w:r>
              <w:rPr>
                <w:rFonts w:ascii="Carlito" w:hAnsi="Carlito" w:eastAsia="Carlito"/>
                <w:sz w:val="17"/>
              </w:rPr>
              <w:t>FD2 serie, FD3 número, FD6 descripción, FD7 cantidad, FD8 p.unit, FD11 base, FD12 tipo IVA.</w:t>
            </w:r>
          </w:p>
        </w:tc>
      </w:tr>
      <w:tr>
        <w:trPr>
          <w:cantSplit/>
        </w:trPr>
        <w:tc>
          <w:tcPr>
            <w:tcW w:type="dxa" w:w="2551"/>
            <w:vAlign w:val="center"/>
          </w:tcPr>
          <w:p>
            <w:r>
              <w:rPr>
                <w:rFonts w:ascii="Carlito" w:hAnsi="Carlito" w:eastAsia="Carlito"/>
                <w:sz w:val="17"/>
              </w:rPr>
              <w:t>hisopcc+tienda</w:t>
            </w:r>
          </w:p>
        </w:tc>
        <w:tc>
          <w:tcPr>
            <w:tcW w:type="dxa" w:w="6803"/>
            <w:vAlign w:val="center"/>
          </w:tcPr>
          <w:p>
            <w:r>
              <w:rPr>
                <w:rFonts w:ascii="Carlito" w:hAnsi="Carlito" w:eastAsia="Carlito"/>
                <w:sz w:val="17"/>
              </w:rPr>
              <w:t>HO0 fecha, HO1 hora, HO2 puesto, HO3 número, HO4 serie, HO5 tipo, HO6 forma pago, HO8 cliente, HO19 NIF, HO20_REC rectificativa.</w:t>
            </w:r>
          </w:p>
        </w:tc>
      </w:tr>
      <w:tr>
        <w:trPr>
          <w:cantSplit/>
        </w:trPr>
        <w:tc>
          <w:tcPr>
            <w:tcW w:type="dxa" w:w="2551"/>
            <w:shd w:fill="F2F2F2"/>
            <w:vAlign w:val="center"/>
          </w:tcPr>
          <w:p>
            <w:r>
              <w:rPr>
                <w:rFonts w:ascii="Carlito" w:hAnsi="Carlito" w:eastAsia="Carlito"/>
                <w:sz w:val="17"/>
              </w:rPr>
              <w:t>hisopdd+tienda</w:t>
            </w:r>
          </w:p>
        </w:tc>
        <w:tc>
          <w:tcPr>
            <w:tcW w:type="dxa" w:w="6803"/>
            <w:shd w:fill="F2F2F2"/>
            <w:vAlign w:val="center"/>
          </w:tcPr>
          <w:p>
            <w:r>
              <w:rPr>
                <w:rFonts w:ascii="Carlito" w:hAnsi="Carlito" w:eastAsia="Carlito"/>
                <w:sz w:val="17"/>
              </w:rPr>
              <w:t>HOD6 código, HOD7 descripción, HOD8 uds, HOD9 PVP con IVA, HOD10 sin IVA, HOD11 dto, HOD12 base, HOD13 IVA, HOD14 total con IVA.</w:t>
            </w:r>
          </w:p>
        </w:tc>
      </w:tr>
      <w:tr>
        <w:trPr>
          <w:cantSplit/>
        </w:trPr>
        <w:tc>
          <w:tcPr>
            <w:tcW w:type="dxa" w:w="2551"/>
            <w:vAlign w:val="center"/>
          </w:tcPr>
          <w:p>
            <w:r>
              <w:rPr>
                <w:rFonts w:ascii="Carlito" w:hAnsi="Carlito" w:eastAsia="Carlito"/>
                <w:sz w:val="17"/>
              </w:rPr>
              <w:t>artitien+tienda</w:t>
            </w:r>
          </w:p>
        </w:tc>
        <w:tc>
          <w:tcPr>
            <w:tcW w:type="dxa" w:w="6803"/>
            <w:vAlign w:val="center"/>
          </w:tcPr>
          <w:p>
            <w:r>
              <w:rPr>
                <w:rFonts w:ascii="Carlito" w:hAnsi="Carlito" w:eastAsia="Carlito"/>
                <w:sz w:val="17"/>
              </w:rPr>
              <w:t>A0 código, A1 descripción, A2 PVP con IVA, A21 sin IVA, A24 coste, A14 familia, A32 proveedor.</w:t>
            </w:r>
          </w:p>
        </w:tc>
      </w:tr>
      <w:tr>
        <w:trPr>
          <w:cantSplit/>
        </w:trPr>
        <w:tc>
          <w:tcPr>
            <w:tcW w:type="dxa" w:w="2551"/>
            <w:shd w:fill="F2F2F2"/>
            <w:vAlign w:val="center"/>
          </w:tcPr>
          <w:p>
            <w:r>
              <w:rPr>
                <w:rFonts w:ascii="Carlito" w:hAnsi="Carlito" w:eastAsia="Carlito"/>
                <w:sz w:val="17"/>
              </w:rPr>
              <w:t>verifactu_queue</w:t>
            </w:r>
          </w:p>
        </w:tc>
        <w:tc>
          <w:tcPr>
            <w:tcW w:type="dxa" w:w="6803"/>
            <w:shd w:fill="F2F2F2"/>
            <w:vAlign w:val="center"/>
          </w:tcPr>
          <w:p>
            <w:r>
              <w:rPr>
                <w:rFonts w:ascii="Carlito" w:hAnsi="Carlito" w:eastAsia="Carlito"/>
                <w:sz w:val="17"/>
              </w:rPr>
              <w:t>serie, número, fecha, hora, total_con_iva, estado, payload_json, hash, hash_prev, fecha_isoz, canonical, tipo_factura.</w:t>
            </w:r>
          </w:p>
        </w:tc>
      </w:tr>
    </w:tbl>
    <w:p>
      <w:pPr>
        <w:spacing w:after="40"/>
      </w:pPr>
    </w:p>
    <w:p>
      <w:pPr>
        <w:pStyle w:val="Heading2"/>
        <w:keepNext/>
      </w:pPr>
      <w:r>
        <w:t>13.3 Tipos históricos</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268"/>
            <w:shd w:fill="1F4E78"/>
            <w:vAlign w:val="center"/>
          </w:tcPr>
          <w:p>
            <w:r>
              <w:rPr>
                <w:rFonts w:ascii="Carlito" w:hAnsi="Carlito" w:eastAsia="Carlito"/>
                <w:b/>
                <w:color w:val="FFFFFF"/>
                <w:sz w:val="18"/>
              </w:rPr>
              <w:t>Código</w:t>
            </w:r>
          </w:p>
        </w:tc>
        <w:tc>
          <w:tcPr>
            <w:tcW w:type="dxa" w:w="7087"/>
            <w:shd w:fill="1F4E78"/>
            <w:vAlign w:val="center"/>
          </w:tcPr>
          <w:p>
            <w:r>
              <w:rPr>
                <w:rFonts w:ascii="Carlito" w:hAnsi="Carlito" w:eastAsia="Carlito"/>
                <w:b/>
                <w:color w:val="FFFFFF"/>
                <w:sz w:val="18"/>
              </w:rPr>
              <w:t>Significado orientativo</w:t>
            </w:r>
          </w:p>
        </w:tc>
      </w:tr>
      <w:tr>
        <w:trPr>
          <w:cantSplit/>
        </w:trPr>
        <w:tc>
          <w:tcPr>
            <w:tcW w:type="dxa" w:w="2268"/>
            <w:vAlign w:val="center"/>
          </w:tcPr>
          <w:p>
            <w:r>
              <w:rPr>
                <w:rFonts w:ascii="Carlito" w:hAnsi="Carlito" w:eastAsia="Carlito"/>
                <w:sz w:val="18"/>
              </w:rPr>
              <w:t>NS / NT</w:t>
            </w:r>
          </w:p>
        </w:tc>
        <w:tc>
          <w:tcPr>
            <w:tcW w:type="dxa" w:w="7087"/>
            <w:vAlign w:val="center"/>
          </w:tcPr>
          <w:p>
            <w:r>
              <w:rPr>
                <w:rFonts w:ascii="Carlito" w:hAnsi="Carlito" w:eastAsia="Carlito"/>
                <w:sz w:val="18"/>
              </w:rPr>
              <w:t>Documentos simplificados o tickets según el circuito.</w:t>
            </w:r>
          </w:p>
        </w:tc>
      </w:tr>
      <w:tr>
        <w:trPr>
          <w:cantSplit/>
        </w:trPr>
        <w:tc>
          <w:tcPr>
            <w:tcW w:type="dxa" w:w="2268"/>
            <w:shd w:fill="F2F2F2"/>
            <w:vAlign w:val="center"/>
          </w:tcPr>
          <w:p>
            <w:r>
              <w:rPr>
                <w:rFonts w:ascii="Carlito" w:hAnsi="Carlito" w:eastAsia="Carlito"/>
                <w:sz w:val="18"/>
              </w:rPr>
              <w:t>FA</w:t>
            </w:r>
          </w:p>
        </w:tc>
        <w:tc>
          <w:tcPr>
            <w:tcW w:type="dxa" w:w="7087"/>
            <w:shd w:fill="F2F2F2"/>
            <w:vAlign w:val="center"/>
          </w:tcPr>
          <w:p>
            <w:r>
              <w:rPr>
                <w:rFonts w:ascii="Carlito" w:hAnsi="Carlito" w:eastAsia="Carlito"/>
                <w:sz w:val="18"/>
              </w:rPr>
              <w:t>Factura.</w:t>
            </w:r>
          </w:p>
        </w:tc>
      </w:tr>
      <w:tr>
        <w:trPr>
          <w:cantSplit/>
        </w:trPr>
        <w:tc>
          <w:tcPr>
            <w:tcW w:type="dxa" w:w="2268"/>
            <w:vAlign w:val="center"/>
          </w:tcPr>
          <w:p>
            <w:r>
              <w:rPr>
                <w:rFonts w:ascii="Carlito" w:hAnsi="Carlito" w:eastAsia="Carlito"/>
                <w:sz w:val="18"/>
              </w:rPr>
              <w:t>AL</w:t>
            </w:r>
          </w:p>
        </w:tc>
        <w:tc>
          <w:tcPr>
            <w:tcW w:type="dxa" w:w="7087"/>
            <w:vAlign w:val="center"/>
          </w:tcPr>
          <w:p>
            <w:r>
              <w:rPr>
                <w:rFonts w:ascii="Carlito" w:hAnsi="Carlito" w:eastAsia="Carlito"/>
                <w:sz w:val="18"/>
              </w:rPr>
              <w:t>Albarán.</w:t>
            </w:r>
          </w:p>
        </w:tc>
      </w:tr>
      <w:tr>
        <w:trPr>
          <w:cantSplit/>
        </w:trPr>
        <w:tc>
          <w:tcPr>
            <w:tcW w:type="dxa" w:w="2268"/>
            <w:shd w:fill="F2F2F2"/>
            <w:vAlign w:val="center"/>
          </w:tcPr>
          <w:p>
            <w:r>
              <w:rPr>
                <w:rFonts w:ascii="Carlito" w:hAnsi="Carlito" w:eastAsia="Carlito"/>
                <w:sz w:val="18"/>
              </w:rPr>
              <w:t>EN</w:t>
            </w:r>
          </w:p>
        </w:tc>
        <w:tc>
          <w:tcPr>
            <w:tcW w:type="dxa" w:w="7087"/>
            <w:shd w:fill="F2F2F2"/>
            <w:vAlign w:val="center"/>
          </w:tcPr>
          <w:p>
            <w:r>
              <w:rPr>
                <w:rFonts w:ascii="Carlito" w:hAnsi="Carlito" w:eastAsia="Carlito"/>
                <w:sz w:val="18"/>
              </w:rPr>
              <w:t>Entrega u otro tipo configurado.</w:t>
            </w:r>
          </w:p>
        </w:tc>
      </w:tr>
      <w:tr>
        <w:trPr>
          <w:cantSplit/>
        </w:trPr>
        <w:tc>
          <w:tcPr>
            <w:tcW w:type="dxa" w:w="2268"/>
            <w:vAlign w:val="center"/>
          </w:tcPr>
          <w:p>
            <w:r>
              <w:rPr>
                <w:rFonts w:ascii="Carlito" w:hAnsi="Carlito" w:eastAsia="Carlito"/>
                <w:sz w:val="18"/>
              </w:rPr>
              <w:t>CO</w:t>
            </w:r>
          </w:p>
        </w:tc>
        <w:tc>
          <w:tcPr>
            <w:tcW w:type="dxa" w:w="7087"/>
            <w:vAlign w:val="center"/>
          </w:tcPr>
          <w:p>
            <w:r>
              <w:rPr>
                <w:rFonts w:ascii="Carlito" w:hAnsi="Carlito" w:eastAsia="Carlito"/>
                <w:sz w:val="18"/>
              </w:rPr>
              <w:t>Documento o movimiento comercial según el circuito.</w:t>
            </w:r>
          </w:p>
        </w:tc>
      </w:tr>
      <w:tr>
        <w:trPr>
          <w:cantSplit/>
        </w:trPr>
        <w:tc>
          <w:tcPr>
            <w:tcW w:type="dxa" w:w="2268"/>
            <w:shd w:fill="F2F2F2"/>
            <w:vAlign w:val="center"/>
          </w:tcPr>
          <w:p>
            <w:r>
              <w:rPr>
                <w:rFonts w:ascii="Carlito" w:hAnsi="Carlito" w:eastAsia="Carlito"/>
                <w:sz w:val="18"/>
              </w:rPr>
              <w:t>RE</w:t>
            </w:r>
          </w:p>
        </w:tc>
        <w:tc>
          <w:tcPr>
            <w:tcW w:type="dxa" w:w="7087"/>
            <w:shd w:fill="F2F2F2"/>
            <w:vAlign w:val="center"/>
          </w:tcPr>
          <w:p>
            <w:r>
              <w:rPr>
                <w:rFonts w:ascii="Carlito" w:hAnsi="Carlito" w:eastAsia="Carlito"/>
                <w:sz w:val="18"/>
              </w:rPr>
              <w:t>Rectificativa.</w:t>
            </w:r>
          </w:p>
        </w:tc>
      </w:tr>
    </w:tbl>
    <w:p>
      <w:pPr>
        <w:spacing w:after="40"/>
      </w:pPr>
    </w:p>
    <w:p>
      <w:pPr>
        <w:pStyle w:val="Heading2"/>
        <w:keepNext/>
      </w:pPr>
      <w:r>
        <w:t>13.4 Glosario</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381"/>
            <w:shd w:fill="1F4E78"/>
            <w:vAlign w:val="center"/>
          </w:tcPr>
          <w:p>
            <w:r>
              <w:rPr>
                <w:rFonts w:ascii="Carlito" w:hAnsi="Carlito" w:eastAsia="Carlito"/>
                <w:b/>
                <w:color w:val="FFFFFF"/>
                <w:sz w:val="18"/>
              </w:rPr>
              <w:t>Término</w:t>
            </w:r>
          </w:p>
        </w:tc>
        <w:tc>
          <w:tcPr>
            <w:tcW w:type="dxa" w:w="6973"/>
            <w:shd w:fill="1F4E78"/>
            <w:vAlign w:val="center"/>
          </w:tcPr>
          <w:p>
            <w:r>
              <w:rPr>
                <w:rFonts w:ascii="Carlito" w:hAnsi="Carlito" w:eastAsia="Carlito"/>
                <w:b/>
                <w:color w:val="FFFFFF"/>
                <w:sz w:val="18"/>
              </w:rPr>
              <w:t>Definición</w:t>
            </w:r>
          </w:p>
        </w:tc>
      </w:tr>
      <w:tr>
        <w:trPr>
          <w:cantSplit/>
        </w:trPr>
        <w:tc>
          <w:tcPr>
            <w:tcW w:type="dxa" w:w="2381"/>
            <w:vAlign w:val="center"/>
          </w:tcPr>
          <w:p>
            <w:r>
              <w:rPr>
                <w:rFonts w:ascii="Carlito" w:hAnsi="Carlito" w:eastAsia="Carlito"/>
                <w:sz w:val="18"/>
              </w:rPr>
              <w:t>BBDD</w:t>
            </w:r>
          </w:p>
        </w:tc>
        <w:tc>
          <w:tcPr>
            <w:tcW w:type="dxa" w:w="6973"/>
            <w:vAlign w:val="center"/>
          </w:tcPr>
          <w:p>
            <w:r>
              <w:rPr>
                <w:rFonts w:ascii="Carlito" w:hAnsi="Carlito" w:eastAsia="Carlito"/>
                <w:sz w:val="18"/>
              </w:rPr>
              <w:t>Base de datos.</w:t>
            </w:r>
          </w:p>
        </w:tc>
      </w:tr>
      <w:tr>
        <w:trPr>
          <w:cantSplit/>
        </w:trPr>
        <w:tc>
          <w:tcPr>
            <w:tcW w:type="dxa" w:w="2381"/>
            <w:shd w:fill="F2F2F2"/>
            <w:vAlign w:val="center"/>
          </w:tcPr>
          <w:p>
            <w:r>
              <w:rPr>
                <w:rFonts w:ascii="Carlito" w:hAnsi="Carlito" w:eastAsia="Carlito"/>
                <w:sz w:val="18"/>
              </w:rPr>
              <w:t>Dataset</w:t>
            </w:r>
          </w:p>
        </w:tc>
        <w:tc>
          <w:tcPr>
            <w:tcW w:type="dxa" w:w="6973"/>
            <w:shd w:fill="F2F2F2"/>
            <w:vAlign w:val="center"/>
          </w:tcPr>
          <w:p>
            <w:r>
              <w:rPr>
                <w:rFonts w:ascii="Carlito" w:hAnsi="Carlito" w:eastAsia="Carlito"/>
                <w:sz w:val="18"/>
              </w:rPr>
              <w:t>Conjunto de registros que un formulario consulta o modifica.</w:t>
            </w:r>
          </w:p>
        </w:tc>
      </w:tr>
      <w:tr>
        <w:trPr>
          <w:cantSplit/>
        </w:trPr>
        <w:tc>
          <w:tcPr>
            <w:tcW w:type="dxa" w:w="2381"/>
            <w:vAlign w:val="center"/>
          </w:tcPr>
          <w:p>
            <w:r>
              <w:rPr>
                <w:rFonts w:ascii="Carlito" w:hAnsi="Carlito" w:eastAsia="Carlito"/>
                <w:sz w:val="18"/>
              </w:rPr>
              <w:t>Grid</w:t>
            </w:r>
          </w:p>
        </w:tc>
        <w:tc>
          <w:tcPr>
            <w:tcW w:type="dxa" w:w="6973"/>
            <w:vAlign w:val="center"/>
          </w:tcPr>
          <w:p>
            <w:r>
              <w:rPr>
                <w:rFonts w:ascii="Carlito" w:hAnsi="Carlito" w:eastAsia="Carlito"/>
                <w:sz w:val="18"/>
              </w:rPr>
              <w:t>Tabla visual que muestra filas y columnas.</w:t>
            </w:r>
          </w:p>
        </w:tc>
      </w:tr>
      <w:tr>
        <w:trPr>
          <w:cantSplit/>
        </w:trPr>
        <w:tc>
          <w:tcPr>
            <w:tcW w:type="dxa" w:w="2381"/>
            <w:shd w:fill="F2F2F2"/>
            <w:vAlign w:val="center"/>
          </w:tcPr>
          <w:p>
            <w:r>
              <w:rPr>
                <w:rFonts w:ascii="Carlito" w:hAnsi="Carlito" w:eastAsia="Carlito"/>
                <w:sz w:val="18"/>
              </w:rPr>
              <w:t>LFM</w:t>
            </w:r>
          </w:p>
        </w:tc>
        <w:tc>
          <w:tcPr>
            <w:tcW w:type="dxa" w:w="6973"/>
            <w:shd w:fill="F2F2F2"/>
            <w:vAlign w:val="center"/>
          </w:tcPr>
          <w:p>
            <w:r>
              <w:rPr>
                <w:rFonts w:ascii="Carlito" w:hAnsi="Carlito" w:eastAsia="Carlito"/>
                <w:sz w:val="18"/>
              </w:rPr>
              <w:t>Fichero de diseño de un formulario Lazarus.</w:t>
            </w:r>
          </w:p>
        </w:tc>
      </w:tr>
      <w:tr>
        <w:trPr>
          <w:cantSplit/>
        </w:trPr>
        <w:tc>
          <w:tcPr>
            <w:tcW w:type="dxa" w:w="2381"/>
            <w:vAlign w:val="center"/>
          </w:tcPr>
          <w:p>
            <w:r>
              <w:rPr>
                <w:rFonts w:ascii="Carlito" w:hAnsi="Carlito" w:eastAsia="Carlito"/>
                <w:sz w:val="18"/>
              </w:rPr>
              <w:t>LRF</w:t>
            </w:r>
          </w:p>
        </w:tc>
        <w:tc>
          <w:tcPr>
            <w:tcW w:type="dxa" w:w="6973"/>
            <w:vAlign w:val="center"/>
          </w:tcPr>
          <w:p>
            <w:r>
              <w:rPr>
                <w:rFonts w:ascii="Carlito" w:hAnsi="Carlito" w:eastAsia="Carlito"/>
                <w:sz w:val="18"/>
              </w:rPr>
              <w:t>Plantilla de informe de LazReport.</w:t>
            </w:r>
          </w:p>
        </w:tc>
      </w:tr>
      <w:tr>
        <w:trPr>
          <w:cantSplit/>
        </w:trPr>
        <w:tc>
          <w:tcPr>
            <w:tcW w:type="dxa" w:w="2381"/>
            <w:shd w:fill="F2F2F2"/>
            <w:vAlign w:val="center"/>
          </w:tcPr>
          <w:p>
            <w:r>
              <w:rPr>
                <w:rFonts w:ascii="Carlito" w:hAnsi="Carlito" w:eastAsia="Carlito"/>
                <w:sz w:val="18"/>
              </w:rPr>
              <w:t>PVP</w:t>
            </w:r>
          </w:p>
        </w:tc>
        <w:tc>
          <w:tcPr>
            <w:tcW w:type="dxa" w:w="6973"/>
            <w:shd w:fill="F2F2F2"/>
            <w:vAlign w:val="center"/>
          </w:tcPr>
          <w:p>
            <w:r>
              <w:rPr>
                <w:rFonts w:ascii="Carlito" w:hAnsi="Carlito" w:eastAsia="Carlito"/>
                <w:sz w:val="18"/>
              </w:rPr>
              <w:t>Precio de venta al público.</w:t>
            </w:r>
          </w:p>
        </w:tc>
      </w:tr>
      <w:tr>
        <w:trPr>
          <w:cantSplit/>
        </w:trPr>
        <w:tc>
          <w:tcPr>
            <w:tcW w:type="dxa" w:w="2381"/>
            <w:vAlign w:val="center"/>
          </w:tcPr>
          <w:p>
            <w:r>
              <w:rPr>
                <w:rFonts w:ascii="Carlito" w:hAnsi="Carlito" w:eastAsia="Carlito"/>
                <w:sz w:val="18"/>
              </w:rPr>
              <w:t>KPI</w:t>
            </w:r>
          </w:p>
        </w:tc>
        <w:tc>
          <w:tcPr>
            <w:tcW w:type="dxa" w:w="6973"/>
            <w:vAlign w:val="center"/>
          </w:tcPr>
          <w:p>
            <w:r>
              <w:rPr>
                <w:rFonts w:ascii="Carlito" w:hAnsi="Carlito" w:eastAsia="Carlito"/>
                <w:sz w:val="18"/>
              </w:rPr>
              <w:t>Indicador clave de rendimiento.</w:t>
            </w:r>
          </w:p>
        </w:tc>
      </w:tr>
      <w:tr>
        <w:trPr>
          <w:cantSplit/>
        </w:trPr>
        <w:tc>
          <w:tcPr>
            <w:tcW w:type="dxa" w:w="2381"/>
            <w:shd w:fill="F2F2F2"/>
            <w:vAlign w:val="center"/>
          </w:tcPr>
          <w:p>
            <w:r>
              <w:rPr>
                <w:rFonts w:ascii="Carlito" w:hAnsi="Carlito" w:eastAsia="Carlito"/>
                <w:sz w:val="18"/>
              </w:rPr>
              <w:t>Hash</w:t>
            </w:r>
          </w:p>
        </w:tc>
        <w:tc>
          <w:tcPr>
            <w:tcW w:type="dxa" w:w="6973"/>
            <w:shd w:fill="F2F2F2"/>
            <w:vAlign w:val="center"/>
          </w:tcPr>
          <w:p>
            <w:r>
              <w:rPr>
                <w:rFonts w:ascii="Carlito" w:hAnsi="Carlito" w:eastAsia="Carlito"/>
                <w:sz w:val="18"/>
              </w:rPr>
              <w:t>Huella digital usada para comprobar integridad y encadenamiento.</w:t>
            </w:r>
          </w:p>
        </w:tc>
      </w:tr>
      <w:tr>
        <w:trPr>
          <w:cantSplit/>
        </w:trPr>
        <w:tc>
          <w:tcPr>
            <w:tcW w:type="dxa" w:w="2381"/>
            <w:vAlign w:val="center"/>
          </w:tcPr>
          <w:p>
            <w:r>
              <w:rPr>
                <w:rFonts w:ascii="Carlito" w:hAnsi="Carlito" w:eastAsia="Carlito"/>
                <w:sz w:val="18"/>
              </w:rPr>
              <w:t>SMTP</w:t>
            </w:r>
          </w:p>
        </w:tc>
        <w:tc>
          <w:tcPr>
            <w:tcW w:type="dxa" w:w="6973"/>
            <w:vAlign w:val="center"/>
          </w:tcPr>
          <w:p>
            <w:r>
              <w:rPr>
                <w:rFonts w:ascii="Carlito" w:hAnsi="Carlito" w:eastAsia="Carlito"/>
                <w:sz w:val="18"/>
              </w:rPr>
              <w:t>Servicio utilizado para enviar correo electrónico.</w:t>
            </w:r>
          </w:p>
        </w:tc>
      </w:tr>
      <w:tr>
        <w:trPr>
          <w:cantSplit/>
        </w:trPr>
        <w:tc>
          <w:tcPr>
            <w:tcW w:type="dxa" w:w="2381"/>
            <w:shd w:fill="F2F2F2"/>
            <w:vAlign w:val="center"/>
          </w:tcPr>
          <w:p>
            <w:r>
              <w:rPr>
                <w:rFonts w:ascii="Carlito" w:hAnsi="Carlito" w:eastAsia="Carlito"/>
                <w:sz w:val="18"/>
              </w:rPr>
              <w:t>Rectificativa</w:t>
            </w:r>
          </w:p>
        </w:tc>
        <w:tc>
          <w:tcPr>
            <w:tcW w:type="dxa" w:w="6973"/>
            <w:shd w:fill="F2F2F2"/>
            <w:vAlign w:val="center"/>
          </w:tcPr>
          <w:p>
            <w:r>
              <w:rPr>
                <w:rFonts w:ascii="Carlito" w:hAnsi="Carlito" w:eastAsia="Carlito"/>
                <w:sz w:val="18"/>
              </w:rPr>
              <w:t>Documento fiscal que corrige otro documento.</w:t>
            </w:r>
          </w:p>
        </w:tc>
      </w:tr>
    </w:tbl>
    <w:p>
      <w:pPr>
        <w:spacing w:after="40"/>
      </w:pPr>
    </w:p>
    <w:p>
      <w:bookmarkStart w:id="16" w:name="cap14"/>
      <w:pPr>
        <w:pStyle w:val="Heading1"/>
        <w:keepNext/>
      </w:pPr>
      <w:r>
        <w:t>14. Plan de ampliación del manual</w:t>
      </w:r>
      <w:bookmarkEnd w:id="16"/>
    </w:p>
    <w:p>
      <w:pPr>
        <w:pStyle w:val="BodyText"/>
        <w:keepLines w:val="0"/>
        <w:spacing w:after="100" w:line="259" w:lineRule="auto"/>
        <w:ind w:left="0"/>
      </w:pPr>
      <w:r>
        <w:t>La edición v0.3 mantiene la estructura general y amplía los capítulos de Primeros pasos y Ventas con capturas reales, zonas identificadas y procedimientos detallados. Las próximas revisiones ilustrarán Configuración, Clientes, Artículos, Caja, Dashboard, facturación y VeriFactu.</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1134"/>
            <w:shd w:fill="1F4E78"/>
            <w:vAlign w:val="center"/>
          </w:tcPr>
          <w:p>
            <w:r>
              <w:rPr>
                <w:rFonts w:ascii="Carlito" w:hAnsi="Carlito" w:eastAsia="Carlito"/>
                <w:b/>
                <w:color w:val="FFFFFF"/>
                <w:sz w:val="18"/>
              </w:rPr>
              <w:t>Prioridad</w:t>
            </w:r>
          </w:p>
        </w:tc>
        <w:tc>
          <w:tcPr>
            <w:tcW w:type="dxa" w:w="4252"/>
            <w:shd w:fill="1F4E78"/>
            <w:vAlign w:val="center"/>
          </w:tcPr>
          <w:p>
            <w:r>
              <w:rPr>
                <w:rFonts w:ascii="Carlito" w:hAnsi="Carlito" w:eastAsia="Carlito"/>
                <w:b/>
                <w:color w:val="FFFFFF"/>
                <w:sz w:val="18"/>
              </w:rPr>
              <w:t>Ampliación</w:t>
            </w:r>
          </w:p>
        </w:tc>
        <w:tc>
          <w:tcPr>
            <w:tcW w:type="dxa" w:w="3969"/>
            <w:shd w:fill="1F4E78"/>
            <w:vAlign w:val="center"/>
          </w:tcPr>
          <w:p>
            <w:r>
              <w:rPr>
                <w:rFonts w:ascii="Carlito" w:hAnsi="Carlito" w:eastAsia="Carlito"/>
                <w:b/>
                <w:color w:val="FFFFFF"/>
                <w:sz w:val="18"/>
              </w:rPr>
              <w:t>Resultado esperado</w:t>
            </w:r>
          </w:p>
        </w:tc>
      </w:tr>
      <w:tr>
        <w:trPr>
          <w:cantSplit/>
        </w:trPr>
        <w:tc>
          <w:tcPr>
            <w:tcW w:type="dxa" w:w="1134"/>
            <w:vAlign w:val="center"/>
          </w:tcPr>
          <w:p>
            <w:r>
              <w:rPr>
                <w:rFonts w:ascii="Carlito" w:hAnsi="Carlito" w:eastAsia="Carlito"/>
                <w:sz w:val="18"/>
              </w:rPr>
              <w:t>1</w:t>
            </w:r>
          </w:p>
        </w:tc>
        <w:tc>
          <w:tcPr>
            <w:tcW w:type="dxa" w:w="4252"/>
            <w:vAlign w:val="center"/>
          </w:tcPr>
          <w:p>
            <w:r>
              <w:rPr>
                <w:rFonts w:ascii="Carlito" w:hAnsi="Carlito" w:eastAsia="Carlito"/>
                <w:sz w:val="18"/>
              </w:rPr>
              <w:t>Capturas del menú, configuración, clientes, artículos y ventas.</w:t>
            </w:r>
          </w:p>
        </w:tc>
        <w:tc>
          <w:tcPr>
            <w:tcW w:type="dxa" w:w="3969"/>
            <w:vAlign w:val="center"/>
          </w:tcPr>
          <w:p>
            <w:r>
              <w:rPr>
                <w:rFonts w:ascii="Carlito" w:hAnsi="Carlito" w:eastAsia="Carlito"/>
                <w:sz w:val="18"/>
              </w:rPr>
              <w:t>Identificación visual inmediata de campos y botones.</w:t>
            </w:r>
          </w:p>
        </w:tc>
      </w:tr>
      <w:tr>
        <w:trPr>
          <w:cantSplit/>
        </w:trPr>
        <w:tc>
          <w:tcPr>
            <w:tcW w:type="dxa" w:w="1134"/>
            <w:shd w:fill="F2F2F2"/>
            <w:vAlign w:val="center"/>
          </w:tcPr>
          <w:p>
            <w:r>
              <w:rPr>
                <w:rFonts w:ascii="Carlito" w:hAnsi="Carlito" w:eastAsia="Carlito"/>
                <w:sz w:val="18"/>
              </w:rPr>
              <w:t>2</w:t>
            </w:r>
          </w:p>
        </w:tc>
        <w:tc>
          <w:tcPr>
            <w:tcW w:type="dxa" w:w="4252"/>
            <w:shd w:fill="F2F2F2"/>
            <w:vAlign w:val="center"/>
          </w:tcPr>
          <w:p>
            <w:r>
              <w:rPr>
                <w:rFonts w:ascii="Carlito" w:hAnsi="Carlito" w:eastAsia="Carlito"/>
                <w:sz w:val="18"/>
              </w:rPr>
              <w:t>Guía completa de una venta: ticket, albarán, factura y rectificativa.</w:t>
            </w:r>
          </w:p>
        </w:tc>
        <w:tc>
          <w:tcPr>
            <w:tcW w:type="dxa" w:w="3969"/>
            <w:shd w:fill="F2F2F2"/>
            <w:vAlign w:val="center"/>
          </w:tcPr>
          <w:p>
            <w:r>
              <w:rPr>
                <w:rFonts w:ascii="Carlito" w:hAnsi="Carlito" w:eastAsia="Carlito"/>
                <w:sz w:val="18"/>
              </w:rPr>
              <w:t>Procedimientos de formación para personal de mostrador.</w:t>
            </w:r>
          </w:p>
        </w:tc>
      </w:tr>
      <w:tr>
        <w:trPr>
          <w:cantSplit/>
        </w:trPr>
        <w:tc>
          <w:tcPr>
            <w:tcW w:type="dxa" w:w="1134"/>
            <w:vAlign w:val="center"/>
          </w:tcPr>
          <w:p>
            <w:r>
              <w:rPr>
                <w:rFonts w:ascii="Carlito" w:hAnsi="Carlito" w:eastAsia="Carlito"/>
                <w:sz w:val="18"/>
              </w:rPr>
              <w:t>3</w:t>
            </w:r>
          </w:p>
        </w:tc>
        <w:tc>
          <w:tcPr>
            <w:tcW w:type="dxa" w:w="4252"/>
            <w:vAlign w:val="center"/>
          </w:tcPr>
          <w:p>
            <w:r>
              <w:rPr>
                <w:rFonts w:ascii="Carlito" w:hAnsi="Carlito" w:eastAsia="Carlito"/>
                <w:sz w:val="18"/>
              </w:rPr>
              <w:t>Configuración de impresoras, correo y plantillas.</w:t>
            </w:r>
          </w:p>
        </w:tc>
        <w:tc>
          <w:tcPr>
            <w:tcW w:type="dxa" w:w="3969"/>
            <w:vAlign w:val="center"/>
          </w:tcPr>
          <w:p>
            <w:r>
              <w:rPr>
                <w:rFonts w:ascii="Carlito" w:hAnsi="Carlito" w:eastAsia="Carlito"/>
                <w:sz w:val="18"/>
              </w:rPr>
              <w:t>Puesta en marcha y diagnóstico más sencillo.</w:t>
            </w:r>
          </w:p>
        </w:tc>
      </w:tr>
      <w:tr>
        <w:trPr>
          <w:cantSplit/>
        </w:trPr>
        <w:tc>
          <w:tcPr>
            <w:tcW w:type="dxa" w:w="1134"/>
            <w:shd w:fill="F2F2F2"/>
            <w:vAlign w:val="center"/>
          </w:tcPr>
          <w:p>
            <w:r>
              <w:rPr>
                <w:rFonts w:ascii="Carlito" w:hAnsi="Carlito" w:eastAsia="Carlito"/>
                <w:sz w:val="18"/>
              </w:rPr>
              <w:t>4</w:t>
            </w:r>
          </w:p>
        </w:tc>
        <w:tc>
          <w:tcPr>
            <w:tcW w:type="dxa" w:w="4252"/>
            <w:shd w:fill="F2F2F2"/>
            <w:vAlign w:val="center"/>
          </w:tcPr>
          <w:p>
            <w:r>
              <w:rPr>
                <w:rFonts w:ascii="Carlito" w:hAnsi="Carlito" w:eastAsia="Carlito"/>
                <w:sz w:val="18"/>
              </w:rPr>
              <w:t>Caja, créditos e informe de IVA con ejemplos.</w:t>
            </w:r>
          </w:p>
        </w:tc>
        <w:tc>
          <w:tcPr>
            <w:tcW w:type="dxa" w:w="3969"/>
            <w:shd w:fill="F2F2F2"/>
            <w:vAlign w:val="center"/>
          </w:tcPr>
          <w:p>
            <w:r>
              <w:rPr>
                <w:rFonts w:ascii="Carlito" w:hAnsi="Carlito" w:eastAsia="Carlito"/>
                <w:sz w:val="18"/>
              </w:rPr>
              <w:t>Mayor seguridad en cierres y cobros pendientes.</w:t>
            </w:r>
          </w:p>
        </w:tc>
      </w:tr>
      <w:tr>
        <w:trPr>
          <w:cantSplit/>
        </w:trPr>
        <w:tc>
          <w:tcPr>
            <w:tcW w:type="dxa" w:w="1134"/>
            <w:vAlign w:val="center"/>
          </w:tcPr>
          <w:p>
            <w:r>
              <w:rPr>
                <w:rFonts w:ascii="Carlito" w:hAnsi="Carlito" w:eastAsia="Carlito"/>
                <w:sz w:val="18"/>
              </w:rPr>
              <w:t>5</w:t>
            </w:r>
          </w:p>
        </w:tc>
        <w:tc>
          <w:tcPr>
            <w:tcW w:type="dxa" w:w="4252"/>
            <w:vAlign w:val="center"/>
          </w:tcPr>
          <w:p>
            <w:r>
              <w:rPr>
                <w:rFonts w:ascii="Carlito" w:hAnsi="Carlito" w:eastAsia="Carlito"/>
                <w:sz w:val="18"/>
              </w:rPr>
              <w:t>VeriFactu con estados, errores y capturas del monitor.</w:t>
            </w:r>
          </w:p>
        </w:tc>
        <w:tc>
          <w:tcPr>
            <w:tcW w:type="dxa" w:w="3969"/>
            <w:vAlign w:val="center"/>
          </w:tcPr>
          <w:p>
            <w:r>
              <w:rPr>
                <w:rFonts w:ascii="Carlito" w:hAnsi="Carlito" w:eastAsia="Carlito"/>
                <w:sz w:val="18"/>
              </w:rPr>
              <w:t>Interpretación correcta de envíos y respuestas.</w:t>
            </w:r>
          </w:p>
        </w:tc>
      </w:tr>
      <w:tr>
        <w:trPr>
          <w:cantSplit/>
        </w:trPr>
        <w:tc>
          <w:tcPr>
            <w:tcW w:type="dxa" w:w="1134"/>
            <w:shd w:fill="F2F2F2"/>
            <w:vAlign w:val="center"/>
          </w:tcPr>
          <w:p>
            <w:r>
              <w:rPr>
                <w:rFonts w:ascii="Carlito" w:hAnsi="Carlito" w:eastAsia="Carlito"/>
                <w:sz w:val="18"/>
              </w:rPr>
              <w:t>6</w:t>
            </w:r>
          </w:p>
        </w:tc>
        <w:tc>
          <w:tcPr>
            <w:tcW w:type="dxa" w:w="4252"/>
            <w:shd w:fill="F2F2F2"/>
            <w:vAlign w:val="center"/>
          </w:tcPr>
          <w:p>
            <w:r>
              <w:rPr>
                <w:rFonts w:ascii="Carlito" w:hAnsi="Carlito" w:eastAsia="Carlito"/>
                <w:sz w:val="18"/>
              </w:rPr>
              <w:t>Manual técnico de instalación, compilación y BBDD separado.</w:t>
            </w:r>
          </w:p>
        </w:tc>
        <w:tc>
          <w:tcPr>
            <w:tcW w:type="dxa" w:w="3969"/>
            <w:shd w:fill="F2F2F2"/>
            <w:vAlign w:val="center"/>
          </w:tcPr>
          <w:p>
            <w:r>
              <w:rPr>
                <w:rFonts w:ascii="Carlito" w:hAnsi="Carlito" w:eastAsia="Carlito"/>
                <w:sz w:val="18"/>
              </w:rPr>
              <w:t>Documento específico para administración y desarrollo.</w:t>
            </w:r>
          </w:p>
        </w:tc>
      </w:tr>
      <w:tr>
        <w:trPr>
          <w:cantSplit/>
        </w:trPr>
        <w:tc>
          <w:tcPr>
            <w:tcW w:type="dxa" w:w="1134"/>
            <w:vAlign w:val="center"/>
          </w:tcPr>
          <w:p>
            <w:r>
              <w:rPr>
                <w:rFonts w:ascii="Carlito" w:hAnsi="Carlito" w:eastAsia="Carlito"/>
                <w:sz w:val="18"/>
              </w:rPr>
              <w:t>7</w:t>
            </w:r>
          </w:p>
        </w:tc>
        <w:tc>
          <w:tcPr>
            <w:tcW w:type="dxa" w:w="4252"/>
            <w:vAlign w:val="center"/>
          </w:tcPr>
          <w:p>
            <w:r>
              <w:rPr>
                <w:rFonts w:ascii="Carlito" w:hAnsi="Carlito" w:eastAsia="Carlito"/>
                <w:sz w:val="18"/>
              </w:rPr>
              <w:t>Guía rápida de 10-15 páginas.</w:t>
            </w:r>
          </w:p>
        </w:tc>
        <w:tc>
          <w:tcPr>
            <w:tcW w:type="dxa" w:w="3969"/>
            <w:vAlign w:val="center"/>
          </w:tcPr>
          <w:p>
            <w:r>
              <w:rPr>
                <w:rFonts w:ascii="Carlito" w:hAnsi="Carlito" w:eastAsia="Carlito"/>
                <w:sz w:val="18"/>
              </w:rPr>
              <w:t>Formación inicial y consulta en el puesto de trabajo.</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MANTENIMIENTO DEL MANUAL: </w:t>
            </w:r>
            <w:r>
              <w:rPr>
                <w:rFonts w:ascii="Carlito" w:hAnsi="Carlito" w:eastAsia="Carlito"/>
                <w:color w:val="000000"/>
                <w:sz w:val="19"/>
              </w:rPr>
              <w:t>Cada versión estable de un módulo debe indicar si cambia un procedimiento. Si cambia, se actualizará el capítulo y se añadirá una línea al control de versiones.</w:t>
            </w:r>
          </w:p>
        </w:tc>
      </w:tr>
    </w:tbl>
    <w:p>
      <w:pPr>
        <w:spacing w:after="20"/>
      </w:pPr>
    </w:p>
    <w:p>
      <w:pPr>
        <w:pStyle w:val="Heading2"/>
        <w:keepNext/>
      </w:pPr>
      <w:r>
        <w:t>Registro de observaciones para próximas revisiones</w:t>
      </w:r>
    </w:p>
    <w:tbl>
      <w:tblPr>
        <w:tblW w:type="auto" w:w="0"/>
        <w:jc w:val="center"/>
        <w:tblLayout w:type="fixed"/>
        <w:tblLook w:firstColumn="1" w:firstRow="1" w:lastColumn="0" w:lastRow="0" w:noHBand="0" w:noVBand="1" w:val="04A0"/>
      </w:tblPr>
      <w:tblGrid>
        <w:gridCol w:w="4929"/>
        <w:gridCol w:w="4929"/>
      </w:tblGrid>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capturas definitivas cuando las pantallas queden validadas.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Confirmar todos los atajos F(x) por módulo.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Documentar permisos de usuarios y perfiles.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Completar el circuito de compras y recepción de pedidos.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ejemplos reales de informes y PDFs.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Ampliar el tratamiento fiscal del cliente a precio de coste.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Documentar restauración completa paso a paso.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índice alfabético de términos y operaciones.</w:t>
            </w:r>
          </w:p>
        </w:tc>
      </w:tr>
    </w:tbl>
    <w:p>
      <w:pPr>
        <w:spacing w:after="40"/>
      </w:pPr>
    </w:p>
    <w:p>
      <w:pPr>
        <w:spacing w:before="400"/>
        <w:jc w:val="center"/>
      </w:pPr>
      <w:r>
        <w:t>Fin de la edición v0.3 - Menú principal y Ventas ilustrados</w:t>
      </w:r>
    </w:p>
    <w:p>
      <w:pPr>
        <w:jc w:val="center"/>
      </w:pPr>
      <w:r>
        <w:rPr>
          <w:rFonts w:ascii="Carlito" w:hAnsi="Carlito" w:eastAsia="Carlito"/>
          <w:i/>
          <w:color w:val="666666"/>
          <w:sz w:val="19"/>
        </w:rPr>
        <w:t>Documento preparado para ampliación continua.</w:t>
      </w:r>
    </w:p>
    <w:sectPr w:rsidR="00FC693F" w:rsidRPr="0006063C" w:rsidSect="00034616">
      <w:headerReference w:type="default" r:id="rId9"/>
      <w:footerReference w:type="default" r:id="rId10"/>
      <w:headerReference w:type="first" r:id="rId11"/>
      <w:footerReference w:type="first" r:id="rId12"/>
      <w:pgSz w:w="12240" w:h="15840"/>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654"/>
      <w:gridCol w:w="1701"/>
    </w:tblGrid>
    <w:tr>
      <w:tc>
        <w:tcPr>
          <w:tcW w:type="dxa" w:w="4677"/>
          <w:tcBorders>
            <w:top w:val="single" w:sz="4" w:color="B4C6E7"/>
          </w:tcBorders>
        </w:tcPr>
        <w:p>
          <w:pPr>
            <w:jc w:val="left"/>
          </w:pPr>
          <w:r>
            <w:rPr>
              <w:rFonts w:ascii="Carlito" w:hAnsi="Carlito"/>
              <w:color w:val="666666"/>
              <w:sz w:val="16"/>
            </w:rPr>
            <w:t>Edición v0.3 - Menú principal y Ventas ilustrados - 24/07/2026</w:t>
          </w:r>
        </w:p>
      </w:tc>
      <w:tc>
        <w:tcPr>
          <w:tcW w:type="dxa" w:w="4677"/>
          <w:tcBorders>
            <w:top w:val="single" w:sz="4" w:color="B4C6E7"/>
          </w:tcBorders>
        </w:tcPr>
        <w:p>
          <w:pPr>
            <w:jc w:val="right"/>
          </w:pPr>
          <w:r>
            <w:rPr>
              <w:rFonts w:ascii="Carlito" w:hAnsi="Carlito" w:eastAsia="Carlito"/>
              <w:color w:val="666666"/>
              <w:sz w:val="18"/>
            </w:rPr>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F4E78"/>
      </w:pBdr>
    </w:pPr>
    <w:r>
      <w:rPr>
        <w:rFonts w:ascii="Carlito" w:hAnsi="Carlito" w:eastAsia="Carlito"/>
        <w:b/>
        <w:color w:val="1F4E78"/>
        <w:sz w:val="17"/>
      </w:rPr>
      <w:t>FacturLinEx  |  Manual de uso y configuración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rlito" w:hAnsi="Carlito"/>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rlito" w:hAnsi="Carlito"/>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Carlito" w:hAnsi="Carlito"/>
      <w:b/>
      <w:bCs/>
      <w:color w:val="5482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Carlito" w:hAnsi="Carlito"/>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sz w:val="20"/>
    </w:rPr>
  </w:style>
  <w:style w:type="paragraph" w:styleId="ListBullet2">
    <w:name w:val="List Bullet 2"/>
    <w:basedOn w:val="Normal"/>
    <w:uiPriority w:val="99"/>
    <w:unhideWhenUsed/>
    <w:rsid w:val="00326F90"/>
    <w:pPr>
      <w:numPr>
        <w:numId w:val="2"/>
      </w:numPr>
      <w:contextualSpacing/>
    </w:pPr>
    <w:rPr>
      <w:rFonts w:ascii="Carlito" w:hAnsi="Carlito"/>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rlito" w:hAnsi="Carlito"/>
      <w:sz w:val="20"/>
    </w:rPr>
  </w:style>
  <w:style w:type="paragraph" w:styleId="ListNumber2">
    <w:name w:val="List Number 2"/>
    <w:basedOn w:val="Normal"/>
    <w:uiPriority w:val="99"/>
    <w:unhideWhenUsed/>
    <w:rsid w:val="0029639D"/>
    <w:pPr>
      <w:numPr>
        <w:numId w:val="6"/>
      </w:numPr>
      <w:contextualSpacing/>
    </w:pPr>
    <w:rPr>
      <w:rFonts w:ascii="Carlito" w:hAnsi="Carlito"/>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uso y configuración de FacturLinEx v0.3</dc:title>
  <dc:subject>Edición ilustrada del Menú principal y Ventas</dc:subject>
  <dc:creator>FacturLinEx</dc:creator>
  <cp:keywords>FacturLinEx, manual, TPV, facturación, configuración, VeriFactu</cp:keywords>
  <dc:description>Documento vivo. Edición v0.3 del 24/07/2026.</dc:description>
  <cp:lastModifiedBy/>
  <cp:revision>1</cp:revision>
  <dcterms:created xsi:type="dcterms:W3CDTF">2013-12-23T23:15:00Z</dcterms:created>
  <dcterms:modified xsi:type="dcterms:W3CDTF">2013-12-23T23:15:00Z</dcterms:modified>
  <cp:category/>
</cp:coreProperties>
</file>