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rPr>
          <w:b/>
          <w:color w:val="FFFFFF"/>
          <w:sz w:val="36"/>
        </w:rPr>
        <w:t>EDICIÓN v0.4</w:t>
      </w:r>
    </w:p>
    <w:p>
      <w:pPr>
        <w:jc w:val="center"/>
      </w:pPr>
      <w:r>
        <w:rPr>
          <w:b w:val="0"/>
          <w:color w:val="FFFFFF"/>
          <w:sz w:val="24"/>
        </w:rPr>
        <w:t>Edición ilustrada - Configuración general del sistema</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provisionales que todavía pueden evolucionar. La edición v0.4 amplía e ilustra la Configuración general con capturas reales anonimizadas: conexiones, tienda y puesto, correo SMTP, impresión, datos QR, entorno de producción, VeriFactu y sistema de puntos.</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rPr>
          <w:cantSplit/>
        </w:trP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rPr>
          <w:cantSplit/>
        </w:trP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rPr>
          <w:cantSplit/>
        </w:trP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r>
        <w:trPr>
          <w:cantSplit/>
        </w:trPr>
        <w:tc>
          <w:tcPr>
            <w:tcW w:type="dxa" w:w="2465"/>
            <w:tcPr>
              <w:tcW w:type="dxa" w:w="2465"/>
              <w:tcMar>
                <w:top w:w="80" w:type="dxa"/>
                <w:start w:w="100" w:type="dxa"/>
                <w:bottom w:w="80" w:type="dxa"/>
                <w:end w:w="100" w:type="dxa"/>
              </w:tcMar>
              <w:shd w:fill="EEF5F7"/>
            </w:tcPr>
          </w:tcPr>
          <w:p>
            <w:pPr>
              <w:pStyle w:val="BodyText"/>
            </w:pPr>
            <w:r>
              <w:t>0.4</w:t>
            </w:r>
          </w:p>
        </w:tc>
        <w:tc>
          <w:tcPr>
            <w:tcW w:type="dxa" w:w="2465"/>
            <w:tcPr>
              <w:tcW w:type="dxa" w:w="2465"/>
              <w:tcMar>
                <w:top w:w="80" w:type="dxa"/>
                <w:start w:w="100" w:type="dxa"/>
                <w:bottom w:w="80" w:type="dxa"/>
                <w:end w:w="100" w:type="dxa"/>
              </w:tcMar>
              <w:shd w:fill="EEF5F7"/>
            </w:tcPr>
          </w:tcPr>
          <w:p>
            <w:pPr>
              <w:pStyle w:val="BodyText"/>
            </w:pPr>
            <w:r>
              <w:t>25/07/2026</w:t>
            </w:r>
          </w:p>
        </w:tc>
        <w:tc>
          <w:tcPr>
            <w:tcW w:type="dxa" w:w="2465"/>
            <w:tcPr>
              <w:tcW w:type="dxa" w:w="2465"/>
              <w:tcMar>
                <w:top w:w="80" w:type="dxa"/>
                <w:start w:w="100" w:type="dxa"/>
                <w:bottom w:w="80" w:type="dxa"/>
                <w:end w:w="100" w:type="dxa"/>
              </w:tcMar>
              <w:shd w:fill="EEF5F7"/>
            </w:tcPr>
          </w:tcPr>
          <w:p>
            <w:pPr>
              <w:pStyle w:val="BodyText"/>
            </w:pPr>
            <w:r>
              <w:t>Capítulo 2 ampliado e ilustrado con capturas reales anonimizadas de conexiones, SMTP, impresión, QR, entorno, VeriFactu y sistema de puntos.</w:t>
            </w:r>
          </w:p>
        </w:tc>
        <w:tc>
          <w:tcPr>
            <w:tcW w:type="dxa" w:w="2465"/>
            <w:tcPr>
              <w:tcW w:type="dxa" w:w="2465"/>
              <w:tcMar>
                <w:top w:w="80" w:type="dxa"/>
                <w:start w:w="100" w:type="dxa"/>
                <w:bottom w:w="80" w:type="dxa"/>
                <w:end w:w="100" w:type="dxa"/>
              </w:tcMar>
              <w:shd w:fill="EEF5F7"/>
            </w:tcPr>
          </w:tcPr>
          <w:p>
            <w:pPr>
              <w:pStyle w:val="BodyText"/>
            </w:pPr>
            <w:r>
              <w:t>Edición ilustrada parcial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rPr>
          <w:cantSplit/>
        </w:trP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rPr>
          <w:cantSplit/>
        </w:trP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rPr>
          <w:cantSplit/>
        </w:trP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rPr>
          <w:cantSplit/>
        </w:trP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rPr>
          <w:cantSplit/>
        </w:trP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rPr>
          <w:cantSplit/>
        </w:trP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rPr>
          <w:cantSplit/>
        </w:trP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rPr>
          <w:cantSplit/>
        </w:trP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rPr>
          <w:cantSplit/>
        </w:trP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rPr>
          <w:cantSplit/>
        </w:trP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pPr>
        <w:pStyle w:val="Heading1"/>
      </w:pPr>
      <w:r>
        <w:t>2. Configuración inicial</w:t>
      </w:r>
    </w:p>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ESTADO: </w:t>
            </w:r>
            <w:r>
              <w:t>Capítulo ilustrado con capturas reales de la configuración modernizada v9 final. Los datos de servidor, correo y rutas personales se han anonimizado porque la versión web está pensada para publicación pública.</w:t>
            </w:r>
          </w:p>
        </w:tc>
      </w:tr>
    </w:tbl>
    <w:p>
      <w:pPr>
        <w:pStyle w:val="Heading2"/>
      </w:pPr>
      <w:r>
        <w:t>2.1 Orden recomendado de configuración</w:t>
      </w:r>
    </w:p>
    <w:p>
      <w:pPr>
        <w:pStyle w:val="ListNumber"/>
      </w:pPr>
      <w:r>
        <w:t>Comprobar la conexión con la base de datos principal.</w:t>
      </w:r>
    </w:p>
    <w:p>
      <w:pPr>
        <w:pStyle w:val="ListNumber"/>
      </w:pPr>
      <w:r>
        <w:t>Configurar empresa, tienda activa y puesto.</w:t>
      </w:r>
    </w:p>
    <w:p>
      <w:pPr>
        <w:pStyle w:val="ListNumber"/>
      </w:pPr>
      <w:r>
        <w:t>Revisar series, numeraciones y tipos de documento.</w:t>
      </w:r>
    </w:p>
    <w:p>
      <w:pPr>
        <w:pStyle w:val="ListNumber"/>
      </w:pPr>
      <w:r>
        <w:t>Configurar impresoras, plantillas y generación de PDF.</w:t>
      </w:r>
    </w:p>
    <w:p>
      <w:pPr>
        <w:pStyle w:val="ListNumber"/>
      </w:pPr>
      <w:r>
        <w:t>Configurar el correo electrónico y realizar una prueba de envío.</w:t>
      </w:r>
    </w:p>
    <w:p>
      <w:pPr>
        <w:pStyle w:val="ListNumber"/>
      </w:pPr>
      <w:r>
        <w:t>Revisar impuestos, entorno de producción y opciones de VeriFactu.</w:t>
      </w:r>
    </w:p>
    <w:p>
      <w:pPr>
        <w:pStyle w:val="ListNumber"/>
      </w:pPr>
      <w:r>
        <w:t>Configurar rutas de informes, recursos, iconos y copias de seguridad.</w:t>
      </w:r>
    </w:p>
    <w:p>
      <w:pPr>
        <w:pStyle w:val="ListNumber"/>
      </w:pPr>
      <w:r>
        <w:t>Crear o revisar usuarios, permisos y formas de pago.</w:t>
      </w:r>
    </w:p>
    <w:p>
      <w:pPr>
        <w:pStyle w:val="ListNumber"/>
      </w:pPr>
      <w:r>
        <w:t>Realizar una copia de seguridad y una venta completa de prueba.</w:t>
      </w:r>
    </w:p>
    <w:p>
      <w:pPr>
        <w:pStyle w:val="Heading2"/>
      </w:pPr>
      <w:r>
        <w:t>2.2 Pantalla general y acciones de configuración</w:t>
      </w:r>
    </w:p>
    <w:p>
      <w:pPr>
        <w:pStyle w:val="BodyText"/>
      </w:pPr>
      <w:r>
        <w:t>La ventana Configuración general de FacturLinEx reúne en pestañas los parámetros de empresa, conexión, actualizaciones, tickets y periféricos, impuestos, informes, aplicaciones externas, sistema de puntos y VeriFactu. La pestaña Conexiones permite comprobar en una sola pantalla la base principal, la tienda y el puesto activos, el sistema de información común y el envío SMTP.</w:t>
      </w:r>
    </w:p>
    <w:p>
      <w:pPr>
        <w:jc w:val="center"/>
      </w:pPr>
      <w:r>
        <w:drawing>
          <wp:inline xmlns:a="http://schemas.openxmlformats.org/drawingml/2006/main" xmlns:pic="http://schemas.openxmlformats.org/drawingml/2006/picture">
            <wp:extent cx="5832000" cy="3191324"/>
            <wp:docPr id="17" name="Picture 17" descr="Pantalla Conexiones de Configuración general, anotada por zonas y con datos sensibles anonimizados" title="Pantalla Conexiones de Configuración general, anotada por zo"/>
            <wp:cNvGraphicFramePr>
              <a:graphicFrameLocks noChangeAspect="1"/>
            </wp:cNvGraphicFramePr>
            <a:graphic>
              <a:graphicData uri="http://schemas.openxmlformats.org/drawingml/2006/picture">
                <pic:pic>
                  <pic:nvPicPr>
                    <pic:cNvPr id="0" name="01_conexiones_anotada_anonima.png"/>
                    <pic:cNvPicPr/>
                  </pic:nvPicPr>
                  <pic:blipFill>
                    <a:blip r:embed="rId32"/>
                    <a:stretch>
                      <a:fillRect/>
                    </a:stretch>
                  </pic:blipFill>
                  <pic:spPr>
                    <a:xfrm>
                      <a:off x="0" y="0"/>
                      <a:ext cx="5832000" cy="3191324"/>
                    </a:xfrm>
                    <a:prstGeom prst="rect"/>
                  </pic:spPr>
                </pic:pic>
              </a:graphicData>
            </a:graphic>
          </wp:inline>
        </w:drawing>
      </w:r>
    </w:p>
    <w:p>
      <w:pPr>
        <w:pStyle w:val="Caption"/>
        <w:jc w:val="center"/>
      </w:pPr>
      <w:r>
        <w:t>Figura 2.1. Pestaña Conexiones de la configuración general. Captura real con datos sensibles anonimizados.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Uso principal</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Base de datos principal</w:t>
            </w:r>
          </w:p>
        </w:tc>
        <w:tc>
          <w:tcPr>
            <w:tcW w:type="dxa" w:w="3286"/>
            <w:tcMar>
              <w:top w:w="80" w:type="dxa"/>
              <w:start w:w="100" w:type="dxa"/>
              <w:bottom w:w="80" w:type="dxa"/>
              <w:end w:w="100" w:type="dxa"/>
            </w:tcMar>
          </w:tcPr>
          <w:p>
            <w:pPr>
              <w:pStyle w:val="BodyText"/>
            </w:pPr>
            <w:r>
              <w:t>Servidor, usuario, clave, nombre de BBDD, puerto, protocolo, motor y prueba de conexión.</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Tienda activa y puesto</w:t>
            </w:r>
          </w:p>
        </w:tc>
        <w:tc>
          <w:tcPr>
            <w:tcW w:type="dxa" w:w="3286"/>
            <w:tcMar>
              <w:top w:w="80" w:type="dxa"/>
              <w:start w:w="100" w:type="dxa"/>
              <w:bottom w:w="80" w:type="dxa"/>
              <w:end w:w="100" w:type="dxa"/>
            </w:tcMar>
          </w:tcPr>
          <w:p>
            <w:pPr>
              <w:pStyle w:val="BodyText"/>
            </w:pPr>
            <w:r>
              <w:t>Selecciona la tienda de trabajo y el puesto que identificará ventas e históricos.</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Sistema de información común</w:t>
            </w:r>
          </w:p>
        </w:tc>
        <w:tc>
          <w:tcPr>
            <w:tcW w:type="dxa" w:w="3286"/>
            <w:tcMar>
              <w:top w:w="80" w:type="dxa"/>
              <w:start w:w="100" w:type="dxa"/>
              <w:bottom w:w="80" w:type="dxa"/>
              <w:end w:w="100" w:type="dxa"/>
            </w:tcMar>
          </w:tcPr>
          <w:p>
            <w:pPr>
              <w:pStyle w:val="BodyText"/>
            </w:pPr>
            <w:r>
              <w:t>Conexión opcional a una segunda base compartida. Solo debe activarse cuando la instalación la utilice.</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Correo electrónico (SMTP)</w:t>
            </w:r>
          </w:p>
        </w:tc>
        <w:tc>
          <w:tcPr>
            <w:tcW w:type="dxa" w:w="3286"/>
            <w:tcMar>
              <w:top w:w="80" w:type="dxa"/>
              <w:start w:w="100" w:type="dxa"/>
              <w:bottom w:w="80" w:type="dxa"/>
              <w:end w:w="100" w:type="dxa"/>
            </w:tcMar>
          </w:tcPr>
          <w:p>
            <w:pPr>
              <w:pStyle w:val="BodyText"/>
            </w:pPr>
            <w:r>
              <w:t>Cuenta de envío, copia, usuario, clave, servidor, puerto, SSL/TLS, asunto y mensaje predeterminado.</w:t>
            </w:r>
          </w:p>
        </w:tc>
      </w:tr>
      <w:tr>
        <w:trPr>
          <w:cantSplit/>
        </w:trPr>
        <w:tc>
          <w:tcPr>
            <w:tcW w:type="dxa" w:w="3286"/>
            <w:tcMar>
              <w:top w:w="80" w:type="dxa"/>
              <w:start w:w="100" w:type="dxa"/>
              <w:bottom w:w="80" w:type="dxa"/>
              <w:end w:w="100" w:type="dxa"/>
            </w:tcMar>
          </w:tcPr>
          <w:p>
            <w:pPr>
              <w:pStyle w:val="BodyText"/>
            </w:pPr>
            <w:r>
              <w:t>5</w:t>
            </w:r>
          </w:p>
        </w:tc>
        <w:tc>
          <w:tcPr>
            <w:tcW w:type="dxa" w:w="3286"/>
            <w:tcMar>
              <w:top w:w="80" w:type="dxa"/>
              <w:start w:w="100" w:type="dxa"/>
              <w:bottom w:w="80" w:type="dxa"/>
              <w:end w:w="100" w:type="dxa"/>
            </w:tcMar>
          </w:tcPr>
          <w:p>
            <w:pPr>
              <w:pStyle w:val="BodyText"/>
            </w:pPr>
            <w:r>
              <w:t>Acciones superiores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FLUJO RECOMENDADO: </w:t>
            </w:r>
            <w:r>
              <w:t>Modifique un bloque cada vez, pulse la prueba correspondiente, use Aplicar para comprobar el cambio en la sesión y Guardar cuando los valores hayan quedado verificados. Recuperar vuelve a cargar la configuración guardada; no debe utilizarse como sustituto de una copia de seguridad.</w:t>
            </w:r>
          </w:p>
        </w:tc>
      </w:tr>
    </w:tbl>
    <w:p>
      <w:pPr>
        <w:pStyle w:val="Heading2"/>
      </w:pPr>
      <w:r>
        <w:t>2.3 Conexiones, tienda, puesto y correo</w:t>
      </w:r>
    </w:p>
    <w:p>
      <w:pPr>
        <w:pStyle w:val="Heading3"/>
      </w:pPr>
      <w:r>
        <w:t>2.3.1 Base de datos principal</w:t>
      </w:r>
    </w:p>
    <w:p>
      <w:pPr>
        <w:pStyle w:val="BodyText"/>
      </w:pPr>
      <w:r>
        <w:t>Los parámetros deben coincidir con el servidor MariaDB que utiliza la instalación. Antes de guardar, pulse Test de conexión. Si la prueba falla, no cambie otros apartados hasta resolver servidor, red, puerto, credenciales o nombre de la base de datos.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664000" cy="1689130"/>
                  <wp:docPr id="18" name="Picture 18" descr="Figura 2.2. Base de datos principal y prueba de conexión."/>
                  <wp:cNvGraphicFramePr>
                    <a:graphicFrameLocks noChangeAspect="1"/>
                  </wp:cNvGraphicFramePr>
                  <a:graphic>
                    <a:graphicData uri="http://schemas.openxmlformats.org/drawingml/2006/picture">
                      <pic:pic>
                        <pic:nvPicPr>
                          <pic:cNvPr id="0" name="01a_bbdd_principal.png"/>
                          <pic:cNvPicPr/>
                        </pic:nvPicPr>
                        <pic:blipFill>
                          <a:blip r:embed="rId33"/>
                          <a:stretch>
                            <a:fillRect/>
                          </a:stretch>
                        </pic:blipFill>
                        <pic:spPr>
                          <a:xfrm>
                            <a:off x="0" y="0"/>
                            <a:ext cx="2664000" cy="168913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664000" cy="2664000"/>
                  <wp:docPr id="19" name="Picture 19" descr="Figura 2.3. Tienda, puesto y sistema de información común."/>
                  <wp:cNvGraphicFramePr>
                    <a:graphicFrameLocks noChangeAspect="1"/>
                  </wp:cNvGraphicFramePr>
                  <a:graphic>
                    <a:graphicData uri="http://schemas.openxmlformats.org/drawingml/2006/picture">
                      <pic:pic>
                        <pic:nvPicPr>
                          <pic:cNvPr id="0" name="01b_tienda_puesto_sic.png"/>
                          <pic:cNvPicPr/>
                        </pic:nvPicPr>
                        <pic:blipFill>
                          <a:blip r:embed="rId34"/>
                          <a:stretch>
                            <a:fillRect/>
                          </a:stretch>
                        </pic:blipFill>
                        <pic:spPr>
                          <a:xfrm>
                            <a:off x="0" y="0"/>
                            <a:ext cx="2664000" cy="2664000"/>
                          </a:xfrm>
                          <a:prstGeom prst="rect"/>
                        </pic:spPr>
                      </pic:pic>
                    </a:graphicData>
                  </a:graphic>
                </wp:inline>
              </w:drawing>
            </w:r>
          </w:p>
        </w:tc>
      </w:tr>
      <w:tr>
        <w:trPr>
          <w:cantSplit/>
        </w:trPr>
        <w:tc>
          <w:tcPr>
            <w:tcW w:type="dxa" w:w="4535"/>
          </w:tcPr>
          <w:p>
            <w:pPr>
              <w:pStyle w:val="Caption"/>
              <w:jc w:val="center"/>
            </w:pPr>
            <w:r>
              <w:t>Figura 2.2. Base de datos principal y prueba de conexión.</w:t>
            </w:r>
          </w:p>
        </w:tc>
        <w:tc>
          <w:tcPr>
            <w:tcW w:type="dxa" w:w="4535"/>
          </w:tcPr>
          <w:p>
            <w:pPr>
              <w:pStyle w:val="Caption"/>
              <w:jc w:val="center"/>
            </w:pPr>
            <w:r>
              <w:t>Figura 2.3. Tienda, puesto y sistema de información común.</w:t>
            </w:r>
          </w:p>
        </w:tc>
      </w:tr>
    </w:tbl>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responde desde el equipo donde se ejecuta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indicada existe y corresponde al entorno esperado.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usuario dispone de permisos suficientes, pero no más de los necesarios.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Puerto, protocolo y motor coinciden con la instalación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de conexión finaliza correctamente antes de Guardar.</w:t>
            </w:r>
          </w:p>
        </w:tc>
      </w:tr>
    </w:tbl>
    <w:tbl>
      <w:tblPr>
        <w:tblW w:type="auto" w:w="0"/>
        <w:jc w:val="center"/>
        <w:tblLayout w:type="fixed"/>
        <w:tblLook w:firstColumn="1" w:firstRow="1" w:lastColumn="0" w:lastRow="0" w:noHBand="0" w:noVBand="1" w:val="04A0"/>
        <w:tblBorders>
          <w:top w:val="single" w:sz="6" w:space="0" w:color="8B5E00"/>
          <w:left w:val="single" w:sz="6" w:space="0" w:color="8B5E00"/>
          <w:bottom w:val="single" w:sz="6" w:space="0" w:color="8B5E00"/>
          <w:right w:val="single" w:sz="6" w:space="0" w:color="8B5E00"/>
          <w:insideH w:val="single" w:sz="6" w:space="0" w:color="8B5E00"/>
          <w:insideV w:val="single" w:sz="6" w:space="0" w:color="8B5E00"/>
        </w:tblBorders>
      </w:tblPr>
      <w:tblGrid>
        <w:gridCol w:w="4929"/>
        <w:gridCol w:w="4929"/>
      </w:tblGrid>
      <w:tr>
        <w:trPr>
          <w:cantSplit/>
        </w:trPr>
        <w:tc>
          <w:tcPr>
            <w:tcW w:type="dxa" w:w="567"/>
            <w:shd w:fill="8B5E00"/>
            <w:tcMar>
              <w:top w:w="100" w:type="dxa"/>
              <w:start w:w="80" w:type="dxa"/>
              <w:bottom w:w="100" w:type="dxa"/>
              <w:end w:w="80" w:type="dxa"/>
            </w:tcMar>
            <w:vAlign w:val="center"/>
          </w:tcPr>
          <w:p>
            <w:pPr>
              <w:jc w:val="center"/>
            </w:pPr>
            <w:r>
              <w:rPr>
                <w:b/>
                <w:color w:val="FFFFFF"/>
                <w:sz w:val="32"/>
              </w:rPr>
              <w:t>!</w:t>
            </w:r>
          </w:p>
        </w:tc>
        <w:tc>
          <w:tcPr>
            <w:tcW w:type="dxa" w:w="8674"/>
            <w:shd w:fill="FFF4D6"/>
            <w:tcMar>
              <w:top w:w="130" w:type="dxa"/>
              <w:start w:w="180" w:type="dxa"/>
              <w:bottom w:w="130" w:type="dxa"/>
              <w:end w:w="180" w:type="dxa"/>
            </w:tcMar>
            <w:vAlign w:val="center"/>
          </w:tcPr>
          <w:p>
            <w:pPr>
              <w:pStyle w:val="BodyText"/>
            </w:pPr>
            <w:r>
              <w:rPr>
                <w:b/>
                <w:color w:val="8B5E00"/>
              </w:rPr>
              <w:t xml:space="preserve">PRECAUCIÓN: </w:t>
            </w:r>
            <w:r>
              <w:t>No cambie charset, collation o motor de tablas en producción sin copia previa y sin comprobar las tablas afectadas. Las mezclas de collations pueden provocar errores en consultas JOIN.</w:t>
            </w:r>
          </w:p>
        </w:tc>
      </w:tr>
    </w:tbl>
    <w:p>
      <w:pPr>
        <w:pStyle w:val="Heading3"/>
      </w:pPr>
      <w:r>
        <w:t>2.3.2 Tienda activa y puesto</w:t>
      </w:r>
    </w:p>
    <w:p>
      <w:pPr>
        <w:pStyle w:val="BodyText"/>
      </w:pPr>
      <w:r>
        <w:t>La tienda determina el conjunto de tablas y configuraciones sobre el que se trabaja. El puesto identifica la terminal de venta y debe coincidir con la letra mostrada en Ventas y con la registrada en históricos. Cambiar de tienda o puesto no es un cambio visual: puede dirigir las operaciones a otra numeración o conjunto de datos.</w:t>
      </w:r>
    </w:p>
    <w:p>
      <w:pPr>
        <w:pStyle w:val="Heading3"/>
      </w:pPr>
      <w:r>
        <w:t>2.3.3 Sistema de información común</w:t>
      </w:r>
    </w:p>
    <w:p>
      <w:pPr>
        <w:pStyle w:val="BodyText"/>
      </w:pPr>
      <w:r>
        <w:t>El bloque SIC es opcional. Cuando no se utilice, debe permanecer desactivado y sus controles aparecerán inactivos. Al activarlo, configure y pruebe su conexión de forma independiente a la base principal.</w:t>
      </w:r>
    </w:p>
    <w:p>
      <w:pPr>
        <w:pStyle w:val="Heading3"/>
      </w:pPr>
      <w:r>
        <w:t>2.3.4 Correo electrónico SMTP</w:t>
      </w:r>
    </w:p>
    <w:p>
      <w:pPr>
        <w:jc w:val="center"/>
      </w:pPr>
      <w:r>
        <w:drawing>
          <wp:inline xmlns:a="http://schemas.openxmlformats.org/drawingml/2006/main" xmlns:pic="http://schemas.openxmlformats.org/drawingml/2006/picture">
            <wp:extent cx="3888000" cy="3504676"/>
            <wp:docPr id="20" name="Picture 20" descr="Detalle de configuración SMTP con datos anonimizados" title="Detalle de configuración SMTP con datos anonimizados"/>
            <wp:cNvGraphicFramePr>
              <a:graphicFrameLocks noChangeAspect="1"/>
            </wp:cNvGraphicFramePr>
            <a:graphic>
              <a:graphicData uri="http://schemas.openxmlformats.org/drawingml/2006/picture">
                <pic:pic>
                  <pic:nvPicPr>
                    <pic:cNvPr id="0" name="01c_correo_smtp.png"/>
                    <pic:cNvPicPr/>
                  </pic:nvPicPr>
                  <pic:blipFill>
                    <a:blip r:embed="rId35"/>
                    <a:stretch>
                      <a:fillRect/>
                    </a:stretch>
                  </pic:blipFill>
                  <pic:spPr>
                    <a:xfrm>
                      <a:off x="0" y="0"/>
                      <a:ext cx="3888000" cy="3504676"/>
                    </a:xfrm>
                    <a:prstGeom prst="rect"/>
                  </pic:spPr>
                </pic:pic>
              </a:graphicData>
            </a:graphic>
          </wp:inline>
        </w:drawing>
      </w:r>
    </w:p>
    <w:p>
      <w:pPr>
        <w:pStyle w:val="Caption"/>
        <w:jc w:val="center"/>
      </w:pPr>
      <w:r>
        <w:t>Figura 2.4. Configuración del correo SMTP. Datos de acceso anonimizados.</w:t>
      </w:r>
    </w:p>
    <w:p>
      <w:pPr>
        <w:pStyle w:val="BodyText"/>
      </w:pPr>
      <w:r>
        <w:t>Compruebe cuenta de envío, usuario, clave, servidor, puerto y seguridad. SSL y TLS deben seguir los requisitos del proveedor de correo. La cuenta de copia es opcional. El asunto y el texto predeterminados pueden adaptarse, pero conviene mantenerlos claros y no incluir información confidencial.</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remitente y el usuario son correctos.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y el puerto corresponden al proveedor.</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SSL/TLS están configurados según el servicio utilizado.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cuenta puede enviar desde el equipo de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llega al destinatario y el aviso final queda visible por encima de los demás controles.</w:t>
            </w:r>
          </w:p>
        </w:tc>
      </w:tr>
    </w:tbl>
    <w:p>
      <w:pPr>
        <w:pStyle w:val="Heading2"/>
      </w:pPr>
      <w:r>
        <w:t>2.4 Empresa, tienda, puesto y usuario</w:t>
      </w:r>
    </w:p>
    <w:p>
      <w:pPr>
        <w:pStyle w:val="BodyText"/>
      </w:pPr>
      <w:r>
        <w:t>Los datos de empresa se utilizan en documentos, informes y comunicaciones. La tienda determina el ámbito de trabajo; el puesto identifica la terminal; y el usuario debe quedar asociado a las operaciones que realiza.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701"/>
            <w:shd w:fill="155A6A"/>
            <w:tcMar>
              <w:top w:w="90" w:type="dxa"/>
              <w:start w:w="100" w:type="dxa"/>
              <w:bottom w:w="90" w:type="dxa"/>
              <w:end w:w="100" w:type="dxa"/>
            </w:tcMar>
          </w:tcPr>
          <w:p>
            <w:pPr>
              <w:jc w:val="center"/>
            </w:pPr>
            <w:r>
              <w:rPr>
                <w:b/>
                <w:color w:val="FFFFFF"/>
              </w:rPr>
              <w:t>Elemento</w:t>
            </w:r>
          </w:p>
        </w:tc>
        <w:tc>
          <w:tcPr>
            <w:tcW w:type="dxa" w:w="7483"/>
            <w:shd w:fill="155A6A"/>
            <w:tcMar>
              <w:top w:w="90" w:type="dxa"/>
              <w:start w:w="100" w:type="dxa"/>
              <w:bottom w:w="90" w:type="dxa"/>
              <w:end w:w="100" w:type="dxa"/>
            </w:tcMar>
          </w:tcPr>
          <w:p>
            <w:pPr>
              <w:jc w:val="center"/>
            </w:pPr>
            <w:r>
              <w:rPr>
                <w:b/>
                <w:color w:val="FFFFFF"/>
              </w:rPr>
              <w:t>Comprobaciones</w:t>
            </w:r>
          </w:p>
        </w:tc>
      </w:tr>
      <w:tr>
        <w:trPr>
          <w:cantSplit/>
        </w:trPr>
        <w:tc>
          <w:tcPr>
            <w:tcW w:type="dxa" w:w="4929"/>
            <w:tcMar>
              <w:top w:w="80" w:type="dxa"/>
              <w:start w:w="100" w:type="dxa"/>
              <w:bottom w:w="80" w:type="dxa"/>
              <w:end w:w="100" w:type="dxa"/>
            </w:tcMar>
          </w:tcPr>
          <w:p>
            <w:pPr>
              <w:pStyle w:val="BodyText"/>
            </w:pPr>
            <w:r>
              <w:t>Empresa</w:t>
            </w:r>
          </w:p>
        </w:tc>
        <w:tc>
          <w:tcPr>
            <w:tcW w:type="dxa" w:w="4929"/>
            <w:tcMar>
              <w:top w:w="80" w:type="dxa"/>
              <w:start w:w="100" w:type="dxa"/>
              <w:bottom w:w="80" w:type="dxa"/>
              <w:end w:w="100" w:type="dxa"/>
            </w:tcMar>
          </w:tcPr>
          <w:p>
            <w:pPr>
              <w:pStyle w:val="BodyText"/>
            </w:pPr>
            <w:r>
              <w:t>Razón social, NIF, dirección, datos de contacto, datos fiscales y textos de documentos.</w:t>
            </w:r>
          </w:p>
        </w:tc>
      </w:tr>
      <w:tr>
        <w:trPr>
          <w:cantSplit/>
        </w:trPr>
        <w:tc>
          <w:tcPr>
            <w:tcW w:type="dxa" w:w="4929"/>
            <w:tcMar>
              <w:top w:w="80" w:type="dxa"/>
              <w:start w:w="100" w:type="dxa"/>
              <w:bottom w:w="80" w:type="dxa"/>
              <w:end w:w="100" w:type="dxa"/>
            </w:tcMar>
          </w:tcPr>
          <w:p>
            <w:pPr>
              <w:pStyle w:val="BodyText"/>
            </w:pPr>
            <w:r>
              <w:t>Tienda</w:t>
            </w:r>
          </w:p>
        </w:tc>
        <w:tc>
          <w:tcPr>
            <w:tcW w:type="dxa" w:w="4929"/>
            <w:tcMar>
              <w:top w:w="80" w:type="dxa"/>
              <w:start w:w="100" w:type="dxa"/>
              <w:bottom w:w="80" w:type="dxa"/>
              <w:end w:w="100" w:type="dxa"/>
            </w:tcMar>
          </w:tcPr>
          <w:p>
            <w:pPr>
              <w:pStyle w:val="BodyText"/>
            </w:pPr>
            <w:r>
              <w:t>Código, descripción, rutas y correspondencia con las tablas de la instalación.</w:t>
            </w:r>
          </w:p>
        </w:tc>
      </w:tr>
      <w:tr>
        <w:trPr>
          <w:cantSplit/>
        </w:trPr>
        <w:tc>
          <w:tcPr>
            <w:tcW w:type="dxa" w:w="4929"/>
            <w:tcMar>
              <w:top w:w="80" w:type="dxa"/>
              <w:start w:w="100" w:type="dxa"/>
              <w:bottom w:w="80" w:type="dxa"/>
              <w:end w:w="100" w:type="dxa"/>
            </w:tcMar>
          </w:tcPr>
          <w:p>
            <w:pPr>
              <w:pStyle w:val="BodyText"/>
            </w:pPr>
            <w:r>
              <w:t>Puesto</w:t>
            </w:r>
          </w:p>
        </w:tc>
        <w:tc>
          <w:tcPr>
            <w:tcW w:type="dxa" w:w="4929"/>
            <w:tcMar>
              <w:top w:w="80" w:type="dxa"/>
              <w:start w:w="100" w:type="dxa"/>
              <w:bottom w:w="80" w:type="dxa"/>
              <w:end w:w="100" w:type="dxa"/>
            </w:tcMar>
          </w:tcPr>
          <w:p>
            <w:pPr>
              <w:pStyle w:val="BodyText"/>
            </w:pPr>
            <w:r>
              <w:t>Letra o identificador visible en Ventas y coherente con históricos, caja y series.</w:t>
            </w:r>
          </w:p>
        </w:tc>
      </w:tr>
      <w:tr>
        <w:trPr>
          <w:cantSplit/>
        </w:trPr>
        <w:tc>
          <w:tcPr>
            <w:tcW w:type="dxa" w:w="4929"/>
            <w:tcMar>
              <w:top w:w="80" w:type="dxa"/>
              <w:start w:w="100" w:type="dxa"/>
              <w:bottom w:w="80" w:type="dxa"/>
              <w:end w:w="100" w:type="dxa"/>
            </w:tcMar>
          </w:tcPr>
          <w:p>
            <w:pPr>
              <w:pStyle w:val="BodyText"/>
            </w:pPr>
            <w:r>
              <w:t>Usuario</w:t>
            </w:r>
          </w:p>
        </w:tc>
        <w:tc>
          <w:tcPr>
            <w:tcW w:type="dxa" w:w="4929"/>
            <w:tcMar>
              <w:top w:w="80" w:type="dxa"/>
              <w:start w:w="100" w:type="dxa"/>
              <w:bottom w:w="80" w:type="dxa"/>
              <w:end w:w="100" w:type="dxa"/>
            </w:tcMar>
          </w:tcPr>
          <w:p>
            <w:pPr>
              <w:pStyle w:val="BodyText"/>
            </w:pPr>
            <w:r>
              <w:t>Nombre, credenciales, permisos y asociación correcta a las operaciones.</w:t>
            </w:r>
          </w:p>
        </w:tc>
      </w:tr>
    </w:tbl>
    <w:p>
      <w:pPr>
        <w:pStyle w:val="Heading2"/>
      </w:pPr>
      <w:r>
        <w:t>2.5 Series y numeraciones</w:t>
      </w:r>
    </w:p>
    <w:p>
      <w:pPr>
        <w:pStyle w:val="BodyText"/>
      </w:pPr>
      <w:r>
        <w:t>Cada tipo de documento utiliza series y contadores. Las series permiten separar tiendas, ejercicios, documentos simplificados, rectificativas y otros circuitos. Antes de comenzar a facturar deben revisarse todos los tipos que se utilizarán.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381"/>
            <w:shd w:fill="155A6A"/>
            <w:tcMar>
              <w:top w:w="90" w:type="dxa"/>
              <w:start w:w="100" w:type="dxa"/>
              <w:bottom w:w="90" w:type="dxa"/>
              <w:end w:w="100" w:type="dxa"/>
            </w:tcMar>
          </w:tcPr>
          <w:p>
            <w:pPr>
              <w:jc w:val="center"/>
            </w:pPr>
            <w:r>
              <w:rPr>
                <w:b/>
                <w:color w:val="FFFFFF"/>
              </w:rPr>
              <w:t>Tipo</w:t>
            </w:r>
          </w:p>
        </w:tc>
        <w:tc>
          <w:tcPr>
            <w:tcW w:type="dxa" w:w="2438"/>
            <w:shd w:fill="155A6A"/>
            <w:tcMar>
              <w:top w:w="90" w:type="dxa"/>
              <w:start w:w="100" w:type="dxa"/>
              <w:bottom w:w="90" w:type="dxa"/>
              <w:end w:w="100" w:type="dxa"/>
            </w:tcMar>
          </w:tcPr>
          <w:p>
            <w:pPr>
              <w:jc w:val="center"/>
            </w:pPr>
            <w:r>
              <w:rPr>
                <w:b/>
                <w:color w:val="FFFFFF"/>
              </w:rPr>
              <w:t>Ejemplos habituales</w:t>
            </w:r>
          </w:p>
        </w:tc>
        <w:tc>
          <w:tcPr>
            <w:tcW w:type="dxa" w:w="4365"/>
            <w:shd w:fill="155A6A"/>
            <w:tcMar>
              <w:top w:w="90" w:type="dxa"/>
              <w:start w:w="100" w:type="dxa"/>
              <w:bottom w:w="90" w:type="dxa"/>
              <w:end w:w="100" w:type="dxa"/>
            </w:tcMar>
          </w:tcPr>
          <w:p>
            <w:pPr>
              <w:jc w:val="center"/>
            </w:pPr>
            <w:r>
              <w:rPr>
                <w:b/>
                <w:color w:val="FFFFFF"/>
              </w:rPr>
              <w:t>Uso</w:t>
            </w:r>
          </w:p>
        </w:tc>
      </w:tr>
      <w:tr>
        <w:trPr>
          <w:cantSplit/>
        </w:trPr>
        <w:tc>
          <w:tcPr>
            <w:tcW w:type="dxa" w:w="3286"/>
            <w:tcMar>
              <w:top w:w="80" w:type="dxa"/>
              <w:start w:w="100" w:type="dxa"/>
              <w:bottom w:w="80" w:type="dxa"/>
              <w:end w:w="100" w:type="dxa"/>
            </w:tcMar>
          </w:tcPr>
          <w:p>
            <w:pPr>
              <w:pStyle w:val="BodyText"/>
            </w:pPr>
            <w:r>
              <w:t>Normal</w:t>
            </w:r>
          </w:p>
        </w:tc>
        <w:tc>
          <w:tcPr>
            <w:tcW w:type="dxa" w:w="3286"/>
            <w:tcMar>
              <w:top w:w="80" w:type="dxa"/>
              <w:start w:w="100" w:type="dxa"/>
              <w:bottom w:w="80" w:type="dxa"/>
              <w:end w:w="100" w:type="dxa"/>
            </w:tcMar>
          </w:tcPr>
          <w:p>
            <w:pPr>
              <w:pStyle w:val="BodyText"/>
            </w:pPr>
            <w:r>
              <w:t>A26, B26...</w:t>
            </w:r>
          </w:p>
        </w:tc>
        <w:tc>
          <w:tcPr>
            <w:tcW w:type="dxa" w:w="3286"/>
            <w:tcMar>
              <w:top w:w="80" w:type="dxa"/>
              <w:start w:w="100" w:type="dxa"/>
              <w:bottom w:w="80" w:type="dxa"/>
              <w:end w:w="100" w:type="dxa"/>
            </w:tcMar>
          </w:tcPr>
          <w:p>
            <w:pPr>
              <w:pStyle w:val="BodyText"/>
            </w:pPr>
            <w:r>
              <w:t>Facturas o documentos completos.</w:t>
            </w:r>
          </w:p>
        </w:tc>
      </w:tr>
      <w:tr>
        <w:trPr>
          <w:cantSplit/>
        </w:trPr>
        <w:tc>
          <w:tcPr>
            <w:tcW w:type="dxa" w:w="3286"/>
            <w:tcMar>
              <w:top w:w="80" w:type="dxa"/>
              <w:start w:w="100" w:type="dxa"/>
              <w:bottom w:w="80" w:type="dxa"/>
              <w:end w:w="100" w:type="dxa"/>
            </w:tcMar>
          </w:tcPr>
          <w:p>
            <w:pPr>
              <w:pStyle w:val="BodyText"/>
            </w:pPr>
            <w:r>
              <w:t>Simplificada</w:t>
            </w:r>
          </w:p>
        </w:tc>
        <w:tc>
          <w:tcPr>
            <w:tcW w:type="dxa" w:w="3286"/>
            <w:tcMar>
              <w:top w:w="80" w:type="dxa"/>
              <w:start w:w="100" w:type="dxa"/>
              <w:bottom w:w="80" w:type="dxa"/>
              <w:end w:w="100" w:type="dxa"/>
            </w:tcMar>
          </w:tcPr>
          <w:p>
            <w:pPr>
              <w:pStyle w:val="BodyText"/>
            </w:pPr>
            <w:r>
              <w:t>FS-A26</w:t>
            </w:r>
          </w:p>
        </w:tc>
        <w:tc>
          <w:tcPr>
            <w:tcW w:type="dxa" w:w="3286"/>
            <w:tcMar>
              <w:top w:w="80" w:type="dxa"/>
              <w:start w:w="100" w:type="dxa"/>
              <w:bottom w:w="80" w:type="dxa"/>
              <w:end w:w="100" w:type="dxa"/>
            </w:tcMar>
          </w:tcPr>
          <w:p>
            <w:pPr>
              <w:pStyle w:val="BodyText"/>
            </w:pPr>
            <w:r>
              <w:t>Facturas simplificadas o tickets fiscales.</w:t>
            </w:r>
          </w:p>
        </w:tc>
      </w:tr>
      <w:tr>
        <w:trPr>
          <w:cantSplit/>
        </w:trPr>
        <w:tc>
          <w:tcPr>
            <w:tcW w:type="dxa" w:w="3286"/>
            <w:tcMar>
              <w:top w:w="80" w:type="dxa"/>
              <w:start w:w="100" w:type="dxa"/>
              <w:bottom w:w="80" w:type="dxa"/>
              <w:end w:w="100" w:type="dxa"/>
            </w:tcMar>
          </w:tcPr>
          <w:p>
            <w:pPr>
              <w:pStyle w:val="BodyText"/>
            </w:pPr>
            <w:r>
              <w:t>Rectificativa normal</w:t>
            </w:r>
          </w:p>
        </w:tc>
        <w:tc>
          <w:tcPr>
            <w:tcW w:type="dxa" w:w="3286"/>
            <w:tcMar>
              <w:top w:w="80" w:type="dxa"/>
              <w:start w:w="100" w:type="dxa"/>
              <w:bottom w:w="80" w:type="dxa"/>
              <w:end w:w="100" w:type="dxa"/>
            </w:tcMar>
          </w:tcPr>
          <w:p>
            <w:pPr>
              <w:pStyle w:val="BodyText"/>
            </w:pPr>
            <w:r>
              <w:t>R26</w:t>
            </w:r>
          </w:p>
        </w:tc>
        <w:tc>
          <w:tcPr>
            <w:tcW w:type="dxa" w:w="3286"/>
            <w:tcMar>
              <w:top w:w="80" w:type="dxa"/>
              <w:start w:w="100" w:type="dxa"/>
              <w:bottom w:w="80" w:type="dxa"/>
              <w:end w:w="100" w:type="dxa"/>
            </w:tcMar>
          </w:tcPr>
          <w:p>
            <w:pPr>
              <w:pStyle w:val="BodyText"/>
            </w:pPr>
            <w:r>
              <w:t>Corrección de factura normal.</w:t>
            </w:r>
          </w:p>
        </w:tc>
      </w:tr>
      <w:tr>
        <w:trPr>
          <w:cantSplit/>
        </w:trPr>
        <w:tc>
          <w:tcPr>
            <w:tcW w:type="dxa" w:w="3286"/>
            <w:tcMar>
              <w:top w:w="80" w:type="dxa"/>
              <w:start w:w="100" w:type="dxa"/>
              <w:bottom w:w="80" w:type="dxa"/>
              <w:end w:w="100" w:type="dxa"/>
            </w:tcMar>
          </w:tcPr>
          <w:p>
            <w:pPr>
              <w:pStyle w:val="BodyText"/>
            </w:pPr>
            <w:r>
              <w:t>Rectificativa simplificada</w:t>
            </w:r>
          </w:p>
        </w:tc>
        <w:tc>
          <w:tcPr>
            <w:tcW w:type="dxa" w:w="3286"/>
            <w:tcMar>
              <w:top w:w="80" w:type="dxa"/>
              <w:start w:w="100" w:type="dxa"/>
              <w:bottom w:w="80" w:type="dxa"/>
              <w:end w:w="100" w:type="dxa"/>
            </w:tcMar>
          </w:tcPr>
          <w:p>
            <w:pPr>
              <w:pStyle w:val="BodyText"/>
            </w:pPr>
            <w:r>
              <w:t>FS-R26</w:t>
            </w:r>
          </w:p>
        </w:tc>
        <w:tc>
          <w:tcPr>
            <w:tcW w:type="dxa" w:w="3286"/>
            <w:tcMar>
              <w:top w:w="80" w:type="dxa"/>
              <w:start w:w="100" w:type="dxa"/>
              <w:bottom w:w="80" w:type="dxa"/>
              <w:end w:w="100" w:type="dxa"/>
            </w:tcMar>
          </w:tcPr>
          <w:p>
            <w:pPr>
              <w:pStyle w:val="BodyText"/>
            </w:pPr>
            <w:r>
              <w:t>Corrección de factura simplificada.</w:t>
            </w:r>
          </w:p>
        </w:tc>
      </w:tr>
    </w:tbl>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CRÍTICO: </w:t>
            </w:r>
            <w:r>
              <w:t>No reinicie ni altere manualmente una numeración que ya haya generado documentos fiscales sin analizar sus consecuencias. Puede producir duplicidades, huecos incoherentes o problemas de trazabilidad.</w:t>
            </w:r>
          </w:p>
        </w:tc>
      </w:tr>
    </w:tbl>
    <w:p>
      <w:pPr>
        <w:pStyle w:val="Heading2"/>
      </w:pPr>
      <w:r>
        <w:t>2.6 Impresión, PDF, QR y rutas del sistema</w:t>
      </w:r>
    </w:p>
    <w:p>
      <w:pPr>
        <w:pStyle w:val="BodyText"/>
      </w:pPr>
      <w:r>
        <w:t>La pestaña VeriFactu también agrupa opciones de impresión de informes, textos para el QR cuando no se utiliza VeriFactu y un resumen de las rutas efectivas del sistema. Esta información ayuda a comprobar que plantillas, iconos, módulos y ficheros de configuración se buscan en la ubicación correcta.</w:t>
      </w:r>
    </w:p>
    <w:p>
      <w:pPr>
        <w:jc w:val="center"/>
      </w:pPr>
      <w:r>
        <w:drawing>
          <wp:inline xmlns:a="http://schemas.openxmlformats.org/drawingml/2006/main" xmlns:pic="http://schemas.openxmlformats.org/drawingml/2006/picture">
            <wp:extent cx="5832000" cy="3627262"/>
            <wp:docPr id="21" name="Picture 21" descr="Pestaña VeriFactu con impresión, datos QR y entorno del sistema, anotada y anonimizada" title="Pestaña VeriFactu con impresión, datos QR y entorno del sist"/>
            <wp:cNvGraphicFramePr>
              <a:graphicFrameLocks noChangeAspect="1"/>
            </wp:cNvGraphicFramePr>
            <a:graphic>
              <a:graphicData uri="http://schemas.openxmlformats.org/drawingml/2006/picture">
                <pic:pic>
                  <pic:nvPicPr>
                    <pic:cNvPr id="0" name="02_informes_verifactu_entorno_anotada.png"/>
                    <pic:cNvPicPr/>
                  </pic:nvPicPr>
                  <pic:blipFill>
                    <a:blip r:embed="rId36"/>
                    <a:stretch>
                      <a:fillRect/>
                    </a:stretch>
                  </pic:blipFill>
                  <pic:spPr>
                    <a:xfrm>
                      <a:off x="0" y="0"/>
                      <a:ext cx="5832000" cy="3627262"/>
                    </a:xfrm>
                    <a:prstGeom prst="rect"/>
                  </pic:spPr>
                </pic:pic>
              </a:graphicData>
            </a:graphic>
          </wp:inline>
        </w:drawing>
      </w:r>
    </w:p>
    <w:p>
      <w:pPr>
        <w:pStyle w:val="Caption"/>
        <w:jc w:val="center"/>
      </w:pPr>
      <w:r>
        <w:t>Figura 2.5. Impresión de informes, datos QR y entorno del sistema. Captura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Qué revisar</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Impresión de informes</w:t>
            </w:r>
          </w:p>
        </w:tc>
        <w:tc>
          <w:tcPr>
            <w:tcW w:type="dxa" w:w="3286"/>
            <w:tcMar>
              <w:top w:w="80" w:type="dxa"/>
              <w:start w:w="100" w:type="dxa"/>
              <w:bottom w:w="80" w:type="dxa"/>
              <w:end w:w="100" w:type="dxa"/>
            </w:tcMar>
          </w:tcPr>
          <w:p>
            <w:pPr>
              <w:pStyle w:val="BodyText"/>
            </w:pPr>
            <w:r>
              <w:t>Visualización previa, impresión directa o generación PDF.</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Datos QR no VeriFactu</w:t>
            </w:r>
          </w:p>
        </w:tc>
        <w:tc>
          <w:tcPr>
            <w:tcW w:type="dxa" w:w="3286"/>
            <w:tcMar>
              <w:top w:w="80" w:type="dxa"/>
              <w:start w:w="100" w:type="dxa"/>
              <w:bottom w:w="80" w:type="dxa"/>
              <w:end w:w="100" w:type="dxa"/>
            </w:tcMar>
          </w:tcPr>
          <w:p>
            <w:pPr>
              <w:pStyle w:val="BodyText"/>
            </w:pPr>
            <w:r>
              <w:t>Leyendas y texto usados cuando el circuito no genera el QR fiscal de VeriFactu.</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Entorno del sistema</w:t>
            </w:r>
          </w:p>
        </w:tc>
        <w:tc>
          <w:tcPr>
            <w:tcW w:type="dxa" w:w="3286"/>
            <w:tcMar>
              <w:top w:w="80" w:type="dxa"/>
              <w:start w:w="100" w:type="dxa"/>
              <w:bottom w:w="80" w:type="dxa"/>
              <w:end w:w="100" w:type="dxa"/>
            </w:tcMar>
          </w:tcPr>
          <w:p>
            <w:pPr>
              <w:pStyle w:val="BodyText"/>
            </w:pPr>
            <w:r>
              <w:t>Modo producción y rutas de configuración, BBDD, informes, iconos, ejecutable y extras.</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Acciones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592000" cy="1576800"/>
                  <wp:docPr id="22" name="Picture 22" descr="Figura 2.6. Modalidad de salida de informes."/>
                  <wp:cNvGraphicFramePr>
                    <a:graphicFrameLocks noChangeAspect="1"/>
                  </wp:cNvGraphicFramePr>
                  <a:graphic>
                    <a:graphicData uri="http://schemas.openxmlformats.org/drawingml/2006/picture">
                      <pic:pic>
                        <pic:nvPicPr>
                          <pic:cNvPr id="0" name="02a_impresion_informes.png"/>
                          <pic:cNvPicPr/>
                        </pic:nvPicPr>
                        <pic:blipFill>
                          <a:blip r:embed="rId37"/>
                          <a:stretch>
                            <a:fillRect/>
                          </a:stretch>
                        </pic:blipFill>
                        <pic:spPr>
                          <a:xfrm>
                            <a:off x="0" y="0"/>
                            <a:ext cx="2592000" cy="15768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880000" cy="1005933"/>
                  <wp:docPr id="23" name="Picture 23" descr="Figura 2.7. Textos del QR cuando no se utiliza VeriFactu."/>
                  <wp:cNvGraphicFramePr>
                    <a:graphicFrameLocks noChangeAspect="1"/>
                  </wp:cNvGraphicFramePr>
                  <a:graphic>
                    <a:graphicData uri="http://schemas.openxmlformats.org/drawingml/2006/picture">
                      <pic:pic>
                        <pic:nvPicPr>
                          <pic:cNvPr id="0" name="02b_datos_qr.png"/>
                          <pic:cNvPicPr/>
                        </pic:nvPicPr>
                        <pic:blipFill>
                          <a:blip r:embed="rId38"/>
                          <a:stretch>
                            <a:fillRect/>
                          </a:stretch>
                        </pic:blipFill>
                        <pic:spPr>
                          <a:xfrm>
                            <a:off x="0" y="0"/>
                            <a:ext cx="2880000" cy="1005933"/>
                          </a:xfrm>
                          <a:prstGeom prst="rect"/>
                        </pic:spPr>
                      </pic:pic>
                    </a:graphicData>
                  </a:graphic>
                </wp:inline>
              </w:drawing>
            </w:r>
          </w:p>
        </w:tc>
      </w:tr>
      <w:tr>
        <w:trPr>
          <w:cantSplit/>
        </w:trPr>
        <w:tc>
          <w:tcPr>
            <w:tcW w:type="dxa" w:w="4535"/>
          </w:tcPr>
          <w:p>
            <w:pPr>
              <w:pStyle w:val="Caption"/>
              <w:jc w:val="center"/>
            </w:pPr>
            <w:r>
              <w:t>Figura 2.6. Modalidad de salida de informes.</w:t>
            </w:r>
          </w:p>
        </w:tc>
        <w:tc>
          <w:tcPr>
            <w:tcW w:type="dxa" w:w="4535"/>
          </w:tcPr>
          <w:p>
            <w:pPr>
              <w:pStyle w:val="Caption"/>
              <w:jc w:val="center"/>
            </w:pPr>
            <w:r>
              <w:t>Figura 2.7. Textos del QR cuando no se utiliza VeriFactu.</w:t>
            </w:r>
          </w:p>
        </w:tc>
      </w:tr>
    </w:tbl>
    <w:p>
      <w:pPr>
        <w:pStyle w:val="BodyText"/>
      </w:pPr>
      <w:r>
        <w:t>Seleccione una única modalidad de salida según el puesto: visualizar antes de imprimir para revisar, imprimir directamente para un flujo rápido o generar PDF cuando el documento debe archivarse o enviarse. Los textos del bloque QR no VeriFactu no sustituyen al QR fiscal generado por el circuito VeriFactu.</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tickets seleccionada y probada.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informes o facturas seleccionada.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Plantillas .lrf localizadas y compatibles con los campos utilizados.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Ruta de PDF con permisos de escritura.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Previsualización, impresión directa y PDF probados según el uso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corresponden a la instalación que se está ejecutando.</w:t>
            </w:r>
          </w:p>
        </w:tc>
      </w:tr>
    </w:tbl>
    <w:p>
      <w:pPr>
        <w:pStyle w:val="Heading2"/>
      </w:pPr>
      <w:r>
        <w:t>2.7 VeriFactu y entorno de producción</w:t>
      </w:r>
    </w:p>
    <w:p>
      <w:pPr>
        <w:jc w:val="center"/>
      </w:pPr>
      <w:r>
        <w:drawing>
          <wp:inline xmlns:a="http://schemas.openxmlformats.org/drawingml/2006/main" xmlns:pic="http://schemas.openxmlformats.org/drawingml/2006/picture">
            <wp:extent cx="5688000" cy="1202900"/>
            <wp:docPr id="24" name="Picture 24" descr="Detalle del entorno del sistema con indicador de producción" title="Detalle del entorno del sistema con indicador de producción"/>
            <wp:cNvGraphicFramePr>
              <a:graphicFrameLocks noChangeAspect="1"/>
            </wp:cNvGraphicFramePr>
            <a:graphic>
              <a:graphicData uri="http://schemas.openxmlformats.org/drawingml/2006/picture">
                <pic:pic>
                  <pic:nvPicPr>
                    <pic:cNvPr id="0" name="02c_entorno_produccion.png"/>
                    <pic:cNvPicPr/>
                  </pic:nvPicPr>
                  <pic:blipFill>
                    <a:blip r:embed="rId39"/>
                    <a:stretch>
                      <a:fillRect/>
                    </a:stretch>
                  </pic:blipFill>
                  <pic:spPr>
                    <a:xfrm>
                      <a:off x="0" y="0"/>
                      <a:ext cx="5688000" cy="1202900"/>
                    </a:xfrm>
                    <a:prstGeom prst="rect"/>
                  </pic:spPr>
                </pic:pic>
              </a:graphicData>
            </a:graphic>
          </wp:inline>
        </w:drawing>
      </w:r>
    </w:p>
    <w:p>
      <w:pPr>
        <w:pStyle w:val="Caption"/>
        <w:jc w:val="center"/>
      </w:pPr>
      <w:r>
        <w:t>Figura 2.8. Indicador del entorno y rutas efectivas de FacturLinEx.</w:t>
      </w:r>
    </w:p>
    <w:p>
      <w:pPr>
        <w:pStyle w:val="BodyText"/>
      </w:pPr>
      <w:r>
        <w:t>Antes de activar el entorno real deben revisarse los datos de empresa, las series, la fecha y hora del sistema, el encadenamiento, la cola y la configuración de envío. El rótulo Sistema en producción debe ser visible y no debe confundirse con un entorno de pruebas.</w:t>
      </w:r>
    </w:p>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PRODUCCIÓN: </w:t>
            </w:r>
            <w:r>
              <w:t>No active el entorno real hasta completar pruebas controladas de venta, generación de documento, cola, hash, impresión y consulta del monitor. Una prueba debe utilizar numeraciones y datos preparados para ese fin.</w:t>
            </w:r>
          </w:p>
        </w:tc>
      </w:tr>
    </w:tbl>
    <w:p>
      <w:pPr>
        <w:pStyle w:val="Heading2"/>
      </w:pPr>
      <w:r>
        <w:t>2.8 Sistema de puntos</w:t>
      </w:r>
    </w:p>
    <w:p>
      <w:pPr>
        <w:pStyle w:val="BodyText"/>
      </w:pPr>
      <w:r>
        <w:t>El sistema de puntos se activa globalmente en Configuración y además debe habilitarse en la ficha del cliente. Los niveles se asignan en la ficha del artículo; el nivel 0 es el valor predeterminado.</w:t>
      </w:r>
    </w:p>
    <w:p>
      <w:pPr>
        <w:jc w:val="center"/>
      </w:pPr>
      <w:r>
        <w:drawing>
          <wp:inline xmlns:a="http://schemas.openxmlformats.org/drawingml/2006/main" xmlns:pic="http://schemas.openxmlformats.org/drawingml/2006/picture">
            <wp:extent cx="5832000" cy="3190232"/>
            <wp:docPr id="25" name="Picture 25" descr="Pestaña Sistema de puntos con configuración y niveles de funcionamiento" title="Pestaña Sistema de puntos con configuración y niveles de fun"/>
            <wp:cNvGraphicFramePr>
              <a:graphicFrameLocks noChangeAspect="1"/>
            </wp:cNvGraphicFramePr>
            <a:graphic>
              <a:graphicData uri="http://schemas.openxmlformats.org/drawingml/2006/picture">
                <pic:pic>
                  <pic:nvPicPr>
                    <pic:cNvPr id="0" name="03_sistema_puntos_anotado.png"/>
                    <pic:cNvPicPr/>
                  </pic:nvPicPr>
                  <pic:blipFill>
                    <a:blip r:embed="rId40"/>
                    <a:stretch>
                      <a:fillRect/>
                    </a:stretch>
                  </pic:blipFill>
                  <pic:spPr>
                    <a:xfrm>
                      <a:off x="0" y="0"/>
                      <a:ext cx="5832000" cy="3190232"/>
                    </a:xfrm>
                    <a:prstGeom prst="rect"/>
                  </pic:spPr>
                </pic:pic>
              </a:graphicData>
            </a:graphic>
          </wp:inline>
        </w:drawing>
      </w:r>
    </w:p>
    <w:p>
      <w:pPr>
        <w:pStyle w:val="Caption"/>
        <w:jc w:val="center"/>
      </w:pPr>
      <w:r>
        <w:t>Figura 2.9. Configuración general del sistema de puntos.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247"/>
            <w:shd w:fill="155A6A"/>
            <w:tcMar>
              <w:top w:w="90" w:type="dxa"/>
              <w:start w:w="100" w:type="dxa"/>
              <w:bottom w:w="90" w:type="dxa"/>
              <w:end w:w="100" w:type="dxa"/>
            </w:tcMar>
          </w:tcPr>
          <w:p>
            <w:pPr>
              <w:jc w:val="center"/>
            </w:pPr>
            <w:r>
              <w:rPr>
                <w:b/>
                <w:color w:val="FFFFFF"/>
              </w:rPr>
              <w:t>Nivel</w:t>
            </w:r>
          </w:p>
        </w:tc>
        <w:tc>
          <w:tcPr>
            <w:tcW w:type="dxa" w:w="7937"/>
            <w:shd w:fill="155A6A"/>
            <w:tcMar>
              <w:top w:w="90" w:type="dxa"/>
              <w:start w:w="100" w:type="dxa"/>
              <w:bottom w:w="90" w:type="dxa"/>
              <w:end w:w="100" w:type="dxa"/>
            </w:tcMar>
          </w:tcPr>
          <w:p>
            <w:pPr>
              <w:jc w:val="center"/>
            </w:pPr>
            <w:r>
              <w:rPr>
                <w:b/>
                <w:color w:val="FFFFFF"/>
              </w:rPr>
              <w:t>Comportamiento</w:t>
            </w:r>
          </w:p>
        </w:tc>
      </w:tr>
      <w:tr>
        <w:trPr>
          <w:cantSplit/>
        </w:trPr>
        <w:tc>
          <w:tcPr>
            <w:tcW w:type="dxa" w:w="4929"/>
            <w:tcMar>
              <w:top w:w="80" w:type="dxa"/>
              <w:start w:w="100" w:type="dxa"/>
              <w:bottom w:w="80" w:type="dxa"/>
              <w:end w:w="100" w:type="dxa"/>
            </w:tcMar>
          </w:tcPr>
          <w:p>
            <w:pPr>
              <w:pStyle w:val="BodyText"/>
            </w:pPr>
            <w:r>
              <w:t>0</w:t>
            </w:r>
          </w:p>
        </w:tc>
        <w:tc>
          <w:tcPr>
            <w:tcW w:type="dxa" w:w="4929"/>
            <w:tcMar>
              <w:top w:w="80" w:type="dxa"/>
              <w:start w:w="100" w:type="dxa"/>
              <w:bottom w:w="80" w:type="dxa"/>
              <w:end w:w="100" w:type="dxa"/>
            </w:tcMar>
          </w:tcPr>
          <w:p>
            <w:pPr>
              <w:pStyle w:val="BodyText"/>
            </w:pPr>
            <w:r>
              <w:t>Artículo fuera de promoción de puntos.</w:t>
            </w:r>
          </w:p>
        </w:tc>
      </w:tr>
      <w:tr>
        <w:trPr>
          <w:cantSplit/>
        </w:trPr>
        <w:tc>
          <w:tcPr>
            <w:tcW w:type="dxa" w:w="4929"/>
            <w:tcMar>
              <w:top w:w="80" w:type="dxa"/>
              <w:start w:w="100" w:type="dxa"/>
              <w:bottom w:w="80" w:type="dxa"/>
              <w:end w:w="100" w:type="dxa"/>
            </w:tcMar>
          </w:tcPr>
          <w:p>
            <w:pPr>
              <w:pStyle w:val="BodyText"/>
            </w:pPr>
            <w:r>
              <w:t>1</w:t>
            </w:r>
          </w:p>
        </w:tc>
        <w:tc>
          <w:tcPr>
            <w:tcW w:type="dxa" w:w="4929"/>
            <w:tcMar>
              <w:top w:w="80" w:type="dxa"/>
              <w:start w:w="100" w:type="dxa"/>
              <w:bottom w:w="80" w:type="dxa"/>
              <w:end w:w="100" w:type="dxa"/>
            </w:tcMar>
          </w:tcPr>
          <w:p>
            <w:pPr>
              <w:pStyle w:val="BodyText"/>
            </w:pPr>
            <w:r>
              <w:t>Artículo en promoción de puntos.</w:t>
            </w:r>
          </w:p>
        </w:tc>
      </w:tr>
      <w:tr>
        <w:trPr>
          <w:cantSplit/>
        </w:trPr>
        <w:tc>
          <w:tcPr>
            <w:tcW w:type="dxa" w:w="4929"/>
            <w:tcMar>
              <w:top w:w="80" w:type="dxa"/>
              <w:start w:w="100" w:type="dxa"/>
              <w:bottom w:w="80" w:type="dxa"/>
              <w:end w:w="100" w:type="dxa"/>
            </w:tcMar>
          </w:tcPr>
          <w:p>
            <w:pPr>
              <w:pStyle w:val="BodyText"/>
            </w:pPr>
            <w:r>
              <w:t>2</w:t>
            </w:r>
          </w:p>
        </w:tc>
        <w:tc>
          <w:tcPr>
            <w:tcW w:type="dxa" w:w="4929"/>
            <w:tcMar>
              <w:top w:w="80" w:type="dxa"/>
              <w:start w:w="100" w:type="dxa"/>
              <w:bottom w:w="80" w:type="dxa"/>
              <w:end w:w="100" w:type="dxa"/>
            </w:tcMar>
          </w:tcPr>
          <w:p>
            <w:pPr>
              <w:pStyle w:val="BodyText"/>
            </w:pPr>
            <w:r>
              <w:t>Promoción con porcentaje extra sobre la venta convertido en puntos.</w:t>
            </w:r>
          </w:p>
        </w:tc>
      </w:tr>
      <w:tr>
        <w:trPr>
          <w:cantSplit/>
        </w:trPr>
        <w:tc>
          <w:tcPr>
            <w:tcW w:type="dxa" w:w="4929"/>
            <w:tcMar>
              <w:top w:w="80" w:type="dxa"/>
              <w:start w:w="100" w:type="dxa"/>
              <w:bottom w:w="80" w:type="dxa"/>
              <w:end w:w="100" w:type="dxa"/>
            </w:tcMar>
          </w:tcPr>
          <w:p>
            <w:pPr>
              <w:pStyle w:val="BodyText"/>
            </w:pPr>
            <w:r>
              <w:t>3</w:t>
            </w:r>
          </w:p>
        </w:tc>
        <w:tc>
          <w:tcPr>
            <w:tcW w:type="dxa" w:w="4929"/>
            <w:tcMar>
              <w:top w:w="80" w:type="dxa"/>
              <w:start w:w="100" w:type="dxa"/>
              <w:bottom w:w="80" w:type="dxa"/>
              <w:end w:w="100" w:type="dxa"/>
            </w:tcMar>
          </w:tcPr>
          <w:p>
            <w:pPr>
              <w:pStyle w:val="BodyText"/>
            </w:pPr>
            <w:r>
              <w:t>Promoción con porcentaje extra y puntos fijos adicionales.</w:t>
            </w:r>
          </w:p>
        </w:tc>
      </w:tr>
      <w:tr>
        <w:trPr>
          <w:cantSplit/>
        </w:trPr>
        <w:tc>
          <w:tcPr>
            <w:tcW w:type="dxa" w:w="4929"/>
            <w:tcMar>
              <w:top w:w="80" w:type="dxa"/>
              <w:start w:w="100" w:type="dxa"/>
              <w:bottom w:w="80" w:type="dxa"/>
              <w:end w:w="100" w:type="dxa"/>
            </w:tcMar>
          </w:tcPr>
          <w:p>
            <w:pPr>
              <w:pStyle w:val="BodyText"/>
            </w:pPr>
            <w:r>
              <w:t>4</w:t>
            </w:r>
          </w:p>
        </w:tc>
        <w:tc>
          <w:tcPr>
            <w:tcW w:type="dxa" w:w="4929"/>
            <w:tcMar>
              <w:top w:w="80" w:type="dxa"/>
              <w:start w:w="100" w:type="dxa"/>
              <w:bottom w:w="80" w:type="dxa"/>
              <w:end w:w="100" w:type="dxa"/>
            </w:tcMar>
          </w:tcPr>
          <w:p>
            <w:pPr>
              <w:pStyle w:val="BodyText"/>
            </w:pPr>
            <w:r>
              <w:t>Promoción basada únicamente en puntos fijos.</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ACTIVACIÓN COORDINADA: </w:t>
            </w:r>
            <w:r>
              <w:t>La configuración global por sí sola no basta: compruebe la opción del cliente y el nivel del artículo. Pruebe una venta con importes conocidos antes de utilizar los puntos en producción.</w:t>
            </w:r>
          </w:p>
        </w:tc>
      </w:tr>
    </w:tbl>
    <w:p>
      <w:pPr>
        <w:pStyle w:val="Heading2"/>
      </w:pPr>
      <w:r>
        <w:t>2.9 Copias de seguridad iniciales</w:t>
      </w:r>
    </w:p>
    <w:p>
      <w:pPr>
        <w:pStyle w:val="BodyText"/>
      </w:pPr>
      <w:r>
        <w:t>Debe existir al menos una copia completa antes de comenzar a trabajar y otra antes de cualquier cambio importante. Una copia solo es fiable cuando puede restaurarse correctamente.</w:t>
      </w:r>
    </w:p>
    <w:p>
      <w:pPr>
        <w:pStyle w:val="ListBullet"/>
      </w:pPr>
      <w:r>
        <w:t>Guardar una copia fuera del servidor principal.</w:t>
      </w:r>
    </w:p>
    <w:p>
      <w:pPr>
        <w:pStyle w:val="ListBullet"/>
      </w:pPr>
      <w:r>
        <w:t>Conservar varias fechas, no únicamente la última.</w:t>
      </w:r>
    </w:p>
    <w:p>
      <w:pPr>
        <w:pStyle w:val="ListBullet"/>
      </w:pPr>
      <w:r>
        <w:t>Registrar qué versión del programa y de la base de datos corresponde a cada copia.</w:t>
      </w:r>
    </w:p>
    <w:p>
      <w:pPr>
        <w:pStyle w:val="ListBullet"/>
      </w:pPr>
      <w:r>
        <w:t>Probar periódicamente la restauración en un entorno separado.</w:t>
      </w:r>
    </w:p>
    <w:p>
      <w:pPr>
        <w:pStyle w:val="Heading2"/>
      </w:pPr>
      <w:r>
        <w:t>2.10 Lista final de verificación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principal supera la prueba de conexión.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Tienda, puesto y usuario corresponden al lugar de trabajo.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series y numeraciones están revisadas.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Impresoras, plantillas y PDF funcionan.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correo SMTP ha superado una prueba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existen y son accesibles.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VeriFactu está en el entorno correcto y el monitor puede consultarse.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sistema de puntos está desactivado o configurado de forma coherente.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Existe una copia de seguridad verificable.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Se ha realizado una venta completa de prueba.</w:t>
            </w:r>
          </w:p>
        </w:tc>
      </w:tr>
    </w:tbl>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CONFIGURACIÓN PREPARADA: </w:t>
            </w:r>
            <w:r>
              <w:t>La instalación puede pasar a uso normal cuando todas las comprobaciones anteriores se han completado y se conserva una copia de seguridad del estado validado.</w:t>
            </w:r>
          </w:p>
        </w:tc>
      </w:tr>
    </w:tbl>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Basado en la versión validada clientes_moderno_v2_fix13_selector_formulario_facturas.zip.</w:t>
            </w:r>
          </w:p>
        </w:tc>
      </w:tr>
    </w:tbl>
    <w:p>
      <w:pPr>
        <w:spacing w:after="20"/>
      </w:pPr>
    </w:p>
    <w:p>
      <w:pPr>
        <w:pStyle w:val="Heading2"/>
        <w:keepNext/>
      </w:pPr>
      <w:r>
        <w:t>3.1 Acceso y foco inicial</w:t>
      </w:r>
    </w:p>
    <w:p>
      <w:pPr>
        <w:pStyle w:val="BodyText"/>
        <w:keepLines w:val="0"/>
        <w:spacing w:after="100" w:line="259" w:lineRule="auto"/>
        <w:ind w:left="0"/>
      </w:pPr>
      <w:r>
        <w:rPr>
          <w:rFonts w:ascii="Carlito" w:hAnsi="Carlito" w:eastAsia="Carlito"/>
          <w:i w:val="0"/>
          <w:sz w:val="21"/>
        </w:rPr>
        <w:t>Al abrir el formulario de Clientes, el foco debe situarse en el campo Código, que es el punto de entrada principal. Esto permite consultar o crear clientes sin utilizar el ratón.</w:t>
      </w:r>
    </w:p>
    <w:p>
      <w:pPr>
        <w:pStyle w:val="ListBullet"/>
        <w:spacing w:after="40" w:line="240" w:lineRule="auto"/>
      </w:pPr>
      <w:r>
        <w:rPr>
          <w:rFonts w:ascii="Carlito" w:hAnsi="Carlito" w:eastAsia="Carlito"/>
          <w:sz w:val="20"/>
        </w:rPr>
        <w:t>ESC cierra el formulario desde la página principal.</w:t>
      </w:r>
    </w:p>
    <w:p>
      <w:pPr>
        <w:pStyle w:val="ListBullet"/>
        <w:spacing w:after="40" w:line="240" w:lineRule="auto"/>
      </w:pPr>
      <w:r>
        <w:rPr>
          <w:rFonts w:ascii="Carlito" w:hAnsi="Carlito" w:eastAsia="Carlito"/>
          <w:sz w:val="20"/>
        </w:rPr>
        <w:t>Si existe un selector, diálogo o edición pendiente, ESC debe atender primero ese elemento.</w:t>
      </w:r>
    </w:p>
    <w:p>
      <w:pPr>
        <w:pStyle w:val="ListBullet"/>
        <w:spacing w:after="40" w:line="240" w:lineRule="auto"/>
      </w:pPr>
      <w:r>
        <w:rPr>
          <w:rFonts w:ascii="Carlito" w:hAnsi="Carlito" w:eastAsia="Carlito"/>
          <w:sz w:val="20"/>
        </w:rPr>
        <w:t>Los grids permiten ordenar por columnas y muestran el sentido de ordenación.</w:t>
      </w:r>
    </w:p>
    <w:p>
      <w:pPr>
        <w:pStyle w:val="Heading2"/>
        <w:keepNext/>
      </w:pPr>
      <w:r>
        <w:t>3.2 Consultar un cliente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Escribir el código si se conoce y confirmar.</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Utilizar la búsqueda por nombre, razón social, NIF o datos relacionados cuando no se conozca el código.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Revisar la ficha completa antes de modificarla, especialmente condiciones fiscales, tarifas y opciones de facturación.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documentos asociados desde los selectores o pestañas disponibles.</w:t>
      </w:r>
    </w:p>
    <w:p>
      <w:pPr>
        <w:pStyle w:val="Heading2"/>
        <w:keepNext/>
      </w:pPr>
      <w:r>
        <w:t>3.3 Crear un cliente</w:t>
      </w:r>
    </w:p>
    <w:p>
      <w:pPr>
        <w:pStyle w:val="BodyText"/>
        <w:keepLines w:val="0"/>
        <w:spacing w:after="100" w:line="259" w:lineRule="auto"/>
        <w:ind w:left="0"/>
      </w:pPr>
      <w:r>
        <w:rPr>
          <w:rFonts w:ascii="Carlito" w:hAnsi="Carlito" w:eastAsia="Carlito"/>
          <w:i w:val="0"/>
          <w:sz w:val="21"/>
        </w:rPr>
        <w:t>El código propuesto debe respetar la misma lógica utilizada por Ventas y por la ficha de Clientes. Antes de guardar, debe comprobarse que el cliente no existe con otro código.</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Código correcto y no duplicado.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Nombre o razón social completo.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NIF/CIF/DNI/NIE revisado.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Dirección, población, provincia y código postal.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Teléfono y correo electrónico.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Forma de pago y condiciones comerciales.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o circuito de facturación cuando proceda.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Opciones especiales C41, C42, C55, C56 y C57 revisadas cuando sean aplicables.</w:t>
            </w:r>
          </w:p>
        </w:tc>
      </w:tr>
    </w:tbl>
    <w:p>
      <w:pPr>
        <w:spacing w:after="40"/>
      </w:pPr>
    </w:p>
    <w:p>
      <w:pPr>
        <w:pStyle w:val="Heading2"/>
        <w:keepNext/>
      </w:pPr>
      <w:r>
        <w:t>3.4 Coincidencias de NIF</w:t>
      </w:r>
    </w:p>
    <w:p>
      <w:pPr>
        <w:pStyle w:val="BodyText"/>
        <w:keepLines w:val="0"/>
        <w:spacing w:after="100" w:line="259" w:lineRule="auto"/>
        <w:ind w:left="0"/>
      </w:pPr>
      <w:r>
        <w:rPr>
          <w:rFonts w:ascii="Carlito" w:hAnsi="Carlito" w:eastAsia="Carlito"/>
          <w:i w:val="0"/>
          <w:sz w:val="21"/>
        </w:rPr>
        <w:t>Cuando un NIF coincide con más de un cliente, no debe seleccionarse automáticamente el primer registro. Debe mostrarse una ventana con todas las coincidencias para que el usuario elija la entidad correcta. Este caso aparece con frecuencia en entidades públicas, grupos relacionados o fichas históricas.</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BUENAS PRÁCTICAS: </w:t>
            </w:r>
            <w:r>
              <w:rPr>
                <w:rFonts w:ascii="Carlito" w:hAnsi="Carlito" w:eastAsia="Carlito"/>
                <w:color w:val="000000"/>
                <w:sz w:val="19"/>
              </w:rPr>
              <w:t>No utilizar únicamente el NIF para decidir el cliente. Comparar también nombre, dirección, centro, departamento y código interno.</w:t>
            </w:r>
          </w:p>
        </w:tc>
      </w:tr>
    </w:tbl>
    <w:p>
      <w:pPr>
        <w:spacing w:after="20"/>
      </w:pPr>
    </w:p>
    <w:p>
      <w:pPr>
        <w:pStyle w:val="Heading2"/>
        <w:keepNext/>
      </w:pPr>
      <w:r>
        <w:t>3.5 Cliente a precio de coste</w:t>
      </w:r>
    </w:p>
    <w:p>
      <w:pPr>
        <w:pStyle w:val="BodyText"/>
        <w:keepLines w:val="0"/>
        <w:spacing w:after="100" w:line="259" w:lineRule="auto"/>
        <w:ind w:left="0"/>
      </w:pPr>
      <w:r>
        <w:rPr>
          <w:rFonts w:ascii="Carlito" w:hAnsi="Carlito" w:eastAsia="Carlito"/>
          <w:i w:val="0"/>
          <w:sz w:val="21"/>
        </w:rPr>
        <w:t>La opción asociada al campo C57 permite identificar clientes cuyas ventas deben calcularse con precios de coste, por ejemplo para consumo propio. Esta función requiere una revisión fiscal cuidadosa y debe comprobarse en Ventas antes de utilizarla de forma general.</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PENDIENTE DE VALIDACIÓN COMPLETA: </w:t>
            </w:r>
            <w:r>
              <w:rPr>
                <w:rFonts w:ascii="Carlito" w:hAnsi="Carlito" w:eastAsia="Carlito"/>
                <w:color w:val="000000"/>
                <w:sz w:val="19"/>
              </w:rPr>
              <w:t>La lógica comercial puede estar implementada, pero el tratamiento del IVA, márgenes, descuentos, estadísticas y documentos debe comprobarse en cada circuito.</w:t>
            </w:r>
          </w:p>
        </w:tc>
      </w:tr>
    </w:tbl>
    <w:p>
      <w:pPr>
        <w:spacing w:after="20"/>
      </w:pPr>
    </w:p>
    <w:p>
      <w:pPr>
        <w:pStyle w:val="Heading2"/>
        <w:keepNext/>
      </w:pPr>
      <w:r>
        <w:t>3.6 Modificación y borrado</w:t>
      </w:r>
    </w:p>
    <w:p>
      <w:pPr>
        <w:pStyle w:val="BodyText"/>
        <w:keepLines w:val="0"/>
        <w:spacing w:after="100" w:line="259" w:lineRule="auto"/>
        <w:ind w:left="0"/>
      </w:pPr>
      <w:r>
        <w:rPr>
          <w:rFonts w:ascii="Carlito" w:hAnsi="Carlito" w:eastAsia="Carlito"/>
          <w:i w:val="0"/>
          <w:sz w:val="21"/>
        </w:rPr>
        <w:t>Antes de modificar datos fiscales o comerciales, debe revisarse si el cliente tiene documentos pendientes. El borrado físico de clientes con histórico puede afectar consultas y trazabilidad; cuando sea posible, es preferible desactivar o marcar la ficha en lugar de eliminarla.</w:t>
      </w:r>
    </w:p>
    <w:p>
      <w:pPr>
        <w:pStyle w:val="Heading2"/>
        <w:keepNext/>
      </w:pPr>
      <w:r>
        <w:t>3.7 Lista de comprobación</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foco entra en Código.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búsqueda general se abre centrada y permite ver el formulario de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columnas ordenan correctamente.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botones de búsqueda y rutas son visibles.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opciones críticas no quedan ocultas.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ESC vuelve al menú sin cerrar diálogos de forma insegura.</w:t>
            </w:r>
          </w:p>
        </w:tc>
      </w:tr>
    </w:tbl>
    <w:p>
      <w:pPr>
        <w:spacing w:after="40"/>
      </w:pP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cliente con campos principales y opciones críticas</w:t>
            </w:r>
          </w:p>
        </w:tc>
      </w:tr>
    </w:tbl>
    <w:p>
      <w:pPr>
        <w:spacing w:after="40"/>
      </w:pPr>
    </w:p>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Capítulo funcional. La modernización visual de Artículos se considera finalizada de momento, pendiente de capturas definitivas.</w:t>
            </w:r>
          </w:p>
        </w:tc>
      </w:tr>
    </w:tbl>
    <w:p>
      <w:pPr>
        <w:spacing w:after="20"/>
      </w:pPr>
    </w:p>
    <w:p>
      <w:pPr>
        <w:pStyle w:val="Heading2"/>
        <w:keepNext/>
      </w:pPr>
      <w:r>
        <w:t>4.1 Ficha de artículos</w:t>
      </w:r>
    </w:p>
    <w:p>
      <w:pPr>
        <w:pStyle w:val="BodyText"/>
        <w:keepLines w:val="0"/>
        <w:spacing w:after="100" w:line="259" w:lineRule="auto"/>
        <w:ind w:left="0"/>
      </w:pPr>
      <w:r>
        <w:rPr>
          <w:rFonts w:ascii="Carlito" w:hAnsi="Carlito" w:eastAsia="Carlito"/>
          <w:i w:val="0"/>
          <w:sz w:val="21"/>
        </w:rPr>
        <w:t>El formulario de Artículos centraliza descripción, códigos, precios, costes, impuestos, familia, proveedor, EAN, existencias y opciones comerciales. Al abrirlo, el foco debe situarse en el campo Código.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928"/>
            <w:shd w:fill="1F4E78"/>
            <w:vAlign w:val="center"/>
          </w:tcPr>
          <w:p>
            <w:r>
              <w:rPr>
                <w:rFonts w:ascii="Carlito" w:hAnsi="Carlito" w:eastAsia="Carlito"/>
                <w:b/>
                <w:color w:val="FFFFFF"/>
                <w:sz w:val="18"/>
              </w:rPr>
              <w:t>Dato</w:t>
            </w:r>
          </w:p>
        </w:tc>
        <w:tc>
          <w:tcPr>
            <w:tcW w:type="dxa" w:w="1871"/>
            <w:shd w:fill="1F4E78"/>
            <w:vAlign w:val="center"/>
          </w:tcPr>
          <w:p>
            <w:r>
              <w:rPr>
                <w:rFonts w:ascii="Carlito" w:hAnsi="Carlito" w:eastAsia="Carlito"/>
                <w:b/>
                <w:color w:val="FFFFFF"/>
                <w:sz w:val="18"/>
              </w:rPr>
              <w:t>Referencia técnica</w:t>
            </w:r>
          </w:p>
        </w:tc>
        <w:tc>
          <w:tcPr>
            <w:tcW w:type="dxa" w:w="5216"/>
            <w:shd w:fill="1F4E78"/>
            <w:vAlign w:val="center"/>
          </w:tcPr>
          <w:p>
            <w:r>
              <w:rPr>
                <w:rFonts w:ascii="Carlito" w:hAnsi="Carlito" w:eastAsia="Carlito"/>
                <w:b/>
                <w:color w:val="FFFFFF"/>
                <w:sz w:val="18"/>
              </w:rPr>
              <w:t>Uso</w:t>
            </w:r>
          </w:p>
        </w:tc>
      </w:tr>
      <w:tr>
        <w:trPr>
          <w:cantSplit/>
        </w:trPr>
        <w:tc>
          <w:tcPr>
            <w:tcW w:type="dxa" w:w="1928"/>
            <w:vAlign w:val="center"/>
          </w:tcPr>
          <w:p>
            <w:r>
              <w:rPr>
                <w:rFonts w:ascii="Carlito" w:hAnsi="Carlito" w:eastAsia="Carlito"/>
                <w:sz w:val="18"/>
              </w:rPr>
              <w:t>Código</w:t>
            </w:r>
          </w:p>
        </w:tc>
        <w:tc>
          <w:tcPr>
            <w:tcW w:type="dxa" w:w="1871"/>
            <w:vAlign w:val="center"/>
          </w:tcPr>
          <w:p>
            <w:r>
              <w:rPr>
                <w:rFonts w:ascii="Carlito" w:hAnsi="Carlito" w:eastAsia="Carlito"/>
                <w:sz w:val="18"/>
              </w:rPr>
              <w:t>A0</w:t>
            </w:r>
          </w:p>
        </w:tc>
        <w:tc>
          <w:tcPr>
            <w:tcW w:type="dxa" w:w="5216"/>
            <w:vAlign w:val="center"/>
          </w:tcPr>
          <w:p>
            <w:r>
              <w:rPr>
                <w:rFonts w:ascii="Carlito" w:hAnsi="Carlito" w:eastAsia="Carlito"/>
                <w:sz w:val="18"/>
              </w:rPr>
              <w:t>Identificación principal del artículo.</w:t>
            </w:r>
          </w:p>
        </w:tc>
      </w:tr>
      <w:tr>
        <w:trPr>
          <w:cantSplit/>
        </w:trPr>
        <w:tc>
          <w:tcPr>
            <w:tcW w:type="dxa" w:w="1928"/>
            <w:shd w:fill="F2F2F2"/>
            <w:vAlign w:val="center"/>
          </w:tcPr>
          <w:p>
            <w:r>
              <w:rPr>
                <w:rFonts w:ascii="Carlito" w:hAnsi="Carlito" w:eastAsia="Carlito"/>
                <w:sz w:val="18"/>
              </w:rPr>
              <w:t>Descripción</w:t>
            </w:r>
          </w:p>
        </w:tc>
        <w:tc>
          <w:tcPr>
            <w:tcW w:type="dxa" w:w="1871"/>
            <w:shd w:fill="F2F2F2"/>
            <w:vAlign w:val="center"/>
          </w:tcPr>
          <w:p>
            <w:r>
              <w:rPr>
                <w:rFonts w:ascii="Carlito" w:hAnsi="Carlito" w:eastAsia="Carlito"/>
                <w:sz w:val="18"/>
              </w:rPr>
              <w:t>A1</w:t>
            </w:r>
          </w:p>
        </w:tc>
        <w:tc>
          <w:tcPr>
            <w:tcW w:type="dxa" w:w="5216"/>
            <w:shd w:fill="F2F2F2"/>
            <w:vAlign w:val="center"/>
          </w:tcPr>
          <w:p>
            <w:r>
              <w:rPr>
                <w:rFonts w:ascii="Carlito" w:hAnsi="Carlito" w:eastAsia="Carlito"/>
                <w:sz w:val="18"/>
              </w:rPr>
              <w:t>Texto comercial del artículo.</w:t>
            </w:r>
          </w:p>
        </w:tc>
      </w:tr>
      <w:tr>
        <w:trPr>
          <w:cantSplit/>
        </w:trPr>
        <w:tc>
          <w:tcPr>
            <w:tcW w:type="dxa" w:w="1928"/>
            <w:vAlign w:val="center"/>
          </w:tcPr>
          <w:p>
            <w:r>
              <w:rPr>
                <w:rFonts w:ascii="Carlito" w:hAnsi="Carlito" w:eastAsia="Carlito"/>
                <w:sz w:val="18"/>
              </w:rPr>
              <w:t>PVP con IVA</w:t>
            </w:r>
          </w:p>
        </w:tc>
        <w:tc>
          <w:tcPr>
            <w:tcW w:type="dxa" w:w="1871"/>
            <w:vAlign w:val="center"/>
          </w:tcPr>
          <w:p>
            <w:r>
              <w:rPr>
                <w:rFonts w:ascii="Carlito" w:hAnsi="Carlito" w:eastAsia="Carlito"/>
                <w:sz w:val="18"/>
              </w:rPr>
              <w:t>A2</w:t>
            </w:r>
          </w:p>
        </w:tc>
        <w:tc>
          <w:tcPr>
            <w:tcW w:type="dxa" w:w="5216"/>
            <w:vAlign w:val="center"/>
          </w:tcPr>
          <w:p>
            <w:r>
              <w:rPr>
                <w:rFonts w:ascii="Carlito" w:hAnsi="Carlito" w:eastAsia="Carlito"/>
                <w:sz w:val="18"/>
              </w:rPr>
              <w:t>Precio de venta final con impuestos.</w:t>
            </w:r>
          </w:p>
        </w:tc>
      </w:tr>
      <w:tr>
        <w:trPr>
          <w:cantSplit/>
        </w:trPr>
        <w:tc>
          <w:tcPr>
            <w:tcW w:type="dxa" w:w="1928"/>
            <w:shd w:fill="F2F2F2"/>
            <w:vAlign w:val="center"/>
          </w:tcPr>
          <w:p>
            <w:r>
              <w:rPr>
                <w:rFonts w:ascii="Carlito" w:hAnsi="Carlito" w:eastAsia="Carlito"/>
                <w:sz w:val="18"/>
              </w:rPr>
              <w:t>PVP sin IVA</w:t>
            </w:r>
          </w:p>
        </w:tc>
        <w:tc>
          <w:tcPr>
            <w:tcW w:type="dxa" w:w="1871"/>
            <w:shd w:fill="F2F2F2"/>
            <w:vAlign w:val="center"/>
          </w:tcPr>
          <w:p>
            <w:r>
              <w:rPr>
                <w:rFonts w:ascii="Carlito" w:hAnsi="Carlito" w:eastAsia="Carlito"/>
                <w:sz w:val="18"/>
              </w:rPr>
              <w:t>A21</w:t>
            </w:r>
          </w:p>
        </w:tc>
        <w:tc>
          <w:tcPr>
            <w:tcW w:type="dxa" w:w="5216"/>
            <w:shd w:fill="F2F2F2"/>
            <w:vAlign w:val="center"/>
          </w:tcPr>
          <w:p>
            <w:r>
              <w:rPr>
                <w:rFonts w:ascii="Carlito" w:hAnsi="Carlito" w:eastAsia="Carlito"/>
                <w:sz w:val="18"/>
              </w:rPr>
              <w:t>Precio de venta antes de impuestos.</w:t>
            </w:r>
          </w:p>
        </w:tc>
      </w:tr>
      <w:tr>
        <w:trPr>
          <w:cantSplit/>
        </w:trPr>
        <w:tc>
          <w:tcPr>
            <w:tcW w:type="dxa" w:w="1928"/>
            <w:vAlign w:val="center"/>
          </w:tcPr>
          <w:p>
            <w:r>
              <w:rPr>
                <w:rFonts w:ascii="Carlito" w:hAnsi="Carlito" w:eastAsia="Carlito"/>
                <w:sz w:val="18"/>
              </w:rPr>
              <w:t>Precio de coste</w:t>
            </w:r>
          </w:p>
        </w:tc>
        <w:tc>
          <w:tcPr>
            <w:tcW w:type="dxa" w:w="1871"/>
            <w:vAlign w:val="center"/>
          </w:tcPr>
          <w:p>
            <w:r>
              <w:rPr>
                <w:rFonts w:ascii="Carlito" w:hAnsi="Carlito" w:eastAsia="Carlito"/>
                <w:sz w:val="18"/>
              </w:rPr>
              <w:t>A24</w:t>
            </w:r>
          </w:p>
        </w:tc>
        <w:tc>
          <w:tcPr>
            <w:tcW w:type="dxa" w:w="5216"/>
            <w:vAlign w:val="center"/>
          </w:tcPr>
          <w:p>
            <w:r>
              <w:rPr>
                <w:rFonts w:ascii="Carlito" w:hAnsi="Carlito" w:eastAsia="Carlito"/>
                <w:sz w:val="18"/>
              </w:rPr>
              <w:t>Coste utilizado en márgenes y procesos internos.</w:t>
            </w:r>
          </w:p>
        </w:tc>
      </w:tr>
      <w:tr>
        <w:trPr>
          <w:cantSplit/>
        </w:trPr>
        <w:tc>
          <w:tcPr>
            <w:tcW w:type="dxa" w:w="1928"/>
            <w:shd w:fill="F2F2F2"/>
            <w:vAlign w:val="center"/>
          </w:tcPr>
          <w:p>
            <w:r>
              <w:rPr>
                <w:rFonts w:ascii="Carlito" w:hAnsi="Carlito" w:eastAsia="Carlito"/>
                <w:sz w:val="18"/>
              </w:rPr>
              <w:t>Familia</w:t>
            </w:r>
          </w:p>
        </w:tc>
        <w:tc>
          <w:tcPr>
            <w:tcW w:type="dxa" w:w="1871"/>
            <w:shd w:fill="F2F2F2"/>
            <w:vAlign w:val="center"/>
          </w:tcPr>
          <w:p>
            <w:r>
              <w:rPr>
                <w:rFonts w:ascii="Carlito" w:hAnsi="Carlito" w:eastAsia="Carlito"/>
                <w:sz w:val="18"/>
              </w:rPr>
              <w:t>A14</w:t>
            </w:r>
          </w:p>
        </w:tc>
        <w:tc>
          <w:tcPr>
            <w:tcW w:type="dxa" w:w="5216"/>
            <w:shd w:fill="F2F2F2"/>
            <w:vAlign w:val="center"/>
          </w:tcPr>
          <w:p>
            <w:r>
              <w:rPr>
                <w:rFonts w:ascii="Carlito" w:hAnsi="Carlito" w:eastAsia="Carlito"/>
                <w:sz w:val="18"/>
              </w:rPr>
              <w:t>Clasificación para filtros, estadísticas y teclado.</w:t>
            </w:r>
          </w:p>
        </w:tc>
      </w:tr>
      <w:tr>
        <w:trPr>
          <w:cantSplit/>
        </w:trPr>
        <w:tc>
          <w:tcPr>
            <w:tcW w:type="dxa" w:w="1928"/>
            <w:vAlign w:val="center"/>
          </w:tcPr>
          <w:p>
            <w:r>
              <w:rPr>
                <w:rFonts w:ascii="Carlito" w:hAnsi="Carlito" w:eastAsia="Carlito"/>
                <w:sz w:val="18"/>
              </w:rPr>
              <w:t>Proveedor</w:t>
            </w:r>
          </w:p>
        </w:tc>
        <w:tc>
          <w:tcPr>
            <w:tcW w:type="dxa" w:w="1871"/>
            <w:vAlign w:val="center"/>
          </w:tcPr>
          <w:p>
            <w:r>
              <w:rPr>
                <w:rFonts w:ascii="Carlito" w:hAnsi="Carlito" w:eastAsia="Carlito"/>
                <w:sz w:val="18"/>
              </w:rPr>
              <w:t>A32</w:t>
            </w:r>
          </w:p>
        </w:tc>
        <w:tc>
          <w:tcPr>
            <w:tcW w:type="dxa" w:w="5216"/>
            <w:vAlign w:val="center"/>
          </w:tcPr>
          <w:p>
            <w:r>
              <w:rPr>
                <w:rFonts w:ascii="Carlito" w:hAnsi="Carlito" w:eastAsia="Carlito"/>
                <w:sz w:val="18"/>
              </w:rPr>
              <w:t>Proveedor principal o de referencia.</w:t>
            </w:r>
          </w:p>
        </w:tc>
      </w:tr>
    </w:tbl>
    <w:p>
      <w:pPr>
        <w:spacing w:after="40"/>
      </w:pPr>
    </w:p>
    <w:p>
      <w:pPr>
        <w:pStyle w:val="Heading2"/>
        <w:keepNext/>
      </w:pPr>
      <w:r>
        <w:t>4.2 Distribución de costes y tarifas</w:t>
      </w:r>
    </w:p>
    <w:p>
      <w:pPr>
        <w:pStyle w:val="BodyText"/>
        <w:keepLines w:val="0"/>
        <w:spacing w:after="100" w:line="259" w:lineRule="auto"/>
        <w:ind w:left="0"/>
      </w:pPr>
      <w:r>
        <w:rPr>
          <w:rFonts w:ascii="Carlito" w:hAnsi="Carlito" w:eastAsia="Carlito"/>
          <w:i w:val="0"/>
          <w:sz w:val="21"/>
        </w:rPr>
        <w:t>El campo Precio de coste debe aparecer en la pestaña Costes y Tarifas, dentro del bloque Datos de compras, después de % Descuento 2. Los bloques Datos de compras y Datos de ventas deben disponer de anchura suficiente para trabajar sin amontonamientos.</w:t>
      </w:r>
    </w:p>
    <w:p>
      <w:pPr>
        <w:pStyle w:val="ListBullet"/>
        <w:spacing w:after="40" w:line="240" w:lineRule="auto"/>
      </w:pPr>
      <w:r>
        <w:rPr>
          <w:rFonts w:ascii="Carlito" w:hAnsi="Carlito" w:eastAsia="Carlito"/>
          <w:sz w:val="20"/>
        </w:rPr>
        <w:t>Revisar que el PVP con IVA y sin IVA sean coherentes con el tipo de IVA.</w:t>
      </w:r>
    </w:p>
    <w:p>
      <w:pPr>
        <w:pStyle w:val="ListBullet"/>
        <w:spacing w:after="40" w:line="240" w:lineRule="auto"/>
      </w:pPr>
      <w:r>
        <w:rPr>
          <w:rFonts w:ascii="Carlito" w:hAnsi="Carlito" w:eastAsia="Carlito"/>
          <w:sz w:val="20"/>
        </w:rPr>
        <w:t>Comprobar el coste antes de aplicar actualizaciones automáticas o márgenes mínimos.</w:t>
      </w:r>
    </w:p>
    <w:p>
      <w:pPr>
        <w:pStyle w:val="ListBullet"/>
        <w:spacing w:after="40" w:line="240" w:lineRule="auto"/>
      </w:pPr>
      <w:r>
        <w:rPr>
          <w:rFonts w:ascii="Carlito" w:hAnsi="Carlito" w:eastAsia="Carlito"/>
          <w:sz w:val="20"/>
        </w:rPr>
        <w:t>Verificar las tarifas especiales y sus redondeos.</w:t>
      </w:r>
    </w:p>
    <w:p>
      <w:pPr>
        <w:pStyle w:val="ListBullet"/>
        <w:spacing w:after="40" w:line="240" w:lineRule="auto"/>
      </w:pPr>
      <w:r>
        <w:rPr>
          <w:rFonts w:ascii="Carlito" w:hAnsi="Carlito" w:eastAsia="Carlito"/>
          <w:sz w:val="20"/>
        </w:rPr>
        <w:t>No confundir el precio estadístico vendido con el PVP de tarifa cuando existe descuento.</w:t>
      </w:r>
    </w:p>
    <w:p>
      <w:pPr>
        <w:pStyle w:val="Heading2"/>
        <w:keepNext/>
      </w:pPr>
      <w:r>
        <w:t>4.3 Códigos EAN</w:t>
      </w:r>
    </w:p>
    <w:p>
      <w:pPr>
        <w:pStyle w:val="BodyText"/>
        <w:keepLines w:val="0"/>
        <w:spacing w:after="100" w:line="259" w:lineRule="auto"/>
        <w:ind w:left="0"/>
      </w:pPr>
      <w:r>
        <w:rPr>
          <w:rFonts w:ascii="Carlito" w:hAnsi="Carlito" w:eastAsia="Carlito"/>
          <w:i w:val="0"/>
          <w:sz w:val="21"/>
        </w:rPr>
        <w:t>Los códigos EAN permiten localizar artículos desde lectores y procesos de compra o venta. Las tablas de EAN relacionan el código leído con el artículo correspondiente.</w:t>
      </w:r>
    </w:p>
    <w:p>
      <w:pPr>
        <w:pStyle w:val="ListBullet"/>
        <w:spacing w:after="40" w:line="240" w:lineRule="auto"/>
      </w:pPr>
      <w:r>
        <w:rPr>
          <w:rFonts w:ascii="Carlito" w:hAnsi="Carlito" w:eastAsia="Carlito"/>
          <w:sz w:val="20"/>
        </w:rPr>
        <w:t>Evitar EAN duplicados salvo que exista una razón controlada.</w:t>
      </w:r>
    </w:p>
    <w:p>
      <w:pPr>
        <w:pStyle w:val="ListBullet"/>
        <w:spacing w:after="40" w:line="240" w:lineRule="auto"/>
      </w:pPr>
      <w:r>
        <w:rPr>
          <w:rFonts w:ascii="Carlito" w:hAnsi="Carlito" w:eastAsia="Carlito"/>
          <w:sz w:val="20"/>
        </w:rPr>
        <w:t>Comprobar que la búsqueda por EAN encuentra el artículo correcto.</w:t>
      </w:r>
    </w:p>
    <w:p>
      <w:pPr>
        <w:pStyle w:val="ListBullet"/>
        <w:spacing w:after="40" w:line="240" w:lineRule="auto"/>
      </w:pPr>
      <w:r>
        <w:rPr>
          <w:rFonts w:ascii="Carlito" w:hAnsi="Carlito" w:eastAsia="Carlito"/>
          <w:sz w:val="20"/>
        </w:rPr>
        <w:t>Cuando se lea un EAN inexistente, debe estudiarse la opción de asociarlo al artículo adecuado sin interrumpir el flujo de trabajo.</w:t>
      </w:r>
    </w:p>
    <w:p>
      <w:pPr>
        <w:pStyle w:val="Heading2"/>
        <w:keepNext/>
      </w:pPr>
      <w:r>
        <w:t>4.4 Familias y proveedores</w:t>
      </w:r>
    </w:p>
    <w:p>
      <w:pPr>
        <w:pStyle w:val="BodyText"/>
        <w:keepLines w:val="0"/>
        <w:spacing w:after="100" w:line="259" w:lineRule="auto"/>
        <w:ind w:left="0"/>
      </w:pPr>
      <w:r>
        <w:rPr>
          <w:rFonts w:ascii="Carlito" w:hAnsi="Carlito" w:eastAsia="Carlito"/>
          <w:i w:val="0"/>
          <w:sz w:val="21"/>
        </w:rPr>
        <w:t>Las familias facilitan búsquedas, estadísticas, organización del teclado táctil y análisis de ventas. El proveedor principal se utiliza en pedidos automáticos y procesos de reposición.</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CALIDAD DE DATOS: </w:t>
            </w:r>
            <w:r>
              <w:rPr>
                <w:rFonts w:ascii="Carlito" w:hAnsi="Carlito" w:eastAsia="Carlito"/>
                <w:color w:val="000000"/>
                <w:sz w:val="19"/>
              </w:rPr>
              <w:t>Una familia o proveedor incorrectos afectan a pedidos, estadísticas y filtros. Es preferible corregirlos desde la ficha de Artículos y registrar el cambio.</w:t>
            </w:r>
          </w:p>
        </w:tc>
      </w:tr>
    </w:tbl>
    <w:p>
      <w:pPr>
        <w:spacing w:after="20"/>
      </w:pPr>
    </w:p>
    <w:p>
      <w:pPr>
        <w:pStyle w:val="Heading2"/>
        <w:keepNext/>
      </w:pPr>
      <w:r>
        <w:t>4.5 Actualización automática de precios</w:t>
      </w:r>
    </w:p>
    <w:p>
      <w:pPr>
        <w:pStyle w:val="BodyText"/>
        <w:keepLines w:val="0"/>
        <w:spacing w:after="100" w:line="259" w:lineRule="auto"/>
        <w:ind w:left="0"/>
      </w:pPr>
      <w:r>
        <w:rPr>
          <w:rFonts w:ascii="Carlito" w:hAnsi="Carlito" w:eastAsia="Carlito"/>
          <w:i w:val="0"/>
          <w:sz w:val="21"/>
        </w:rPr>
        <w:t>El actualizador de tarifas permite modificar precios aplicando reglas y terminaciones. Puede utilizar terminaciones 5, 9 o 0 y controlar un margen mínimo configurable.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conjunto de artículos.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el criterio de actualización.</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Configurar la terminación deseada.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Revisar el margen mínimo y los avisos.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Previsualizar o comprobar una muestra antes de aplicar.</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Registrar o consultar el histórico de cambios de precios.</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Una actualización masiva puede afectar cientos de artículos. Realizar copia previa y revisar especialmente coste, IVA y redondeos.</w:t>
            </w:r>
          </w:p>
        </w:tc>
      </w:tr>
    </w:tbl>
    <w:p>
      <w:pPr>
        <w:spacing w:after="20"/>
      </w:pPr>
    </w:p>
    <w:p>
      <w:pPr>
        <w:pStyle w:val="Heading2"/>
        <w:keepNext/>
      </w:pPr>
      <w:r>
        <w:t>4.6 Historial de precios y existencias</w:t>
      </w:r>
    </w:p>
    <w:p>
      <w:pPr>
        <w:pStyle w:val="BodyText"/>
        <w:keepLines w:val="0"/>
        <w:spacing w:after="100" w:line="259" w:lineRule="auto"/>
        <w:ind w:left="0"/>
      </w:pPr>
      <w:r>
        <w:rPr>
          <w:rFonts w:ascii="Carlito" w:hAnsi="Carlito" w:eastAsia="Carlito"/>
          <w:i w:val="0"/>
          <w:sz w:val="21"/>
        </w:rPr>
        <w:t>Los cambios de tarifas y existencias deben quedar registrados en los módulos de histórico correspondientes. En Actualización de stocks, Ver historial sin código debe mostrar todos los cambios; al indicar un código, debe filtrar correctamente.</w:t>
      </w:r>
    </w:p>
    <w:p>
      <w:pPr>
        <w:pStyle w:val="ListBullet"/>
        <w:spacing w:after="40" w:line="240" w:lineRule="auto"/>
      </w:pPr>
      <w:r>
        <w:rPr>
          <w:rFonts w:ascii="Carlito" w:hAnsi="Carlito" w:eastAsia="Carlito"/>
          <w:sz w:val="20"/>
        </w:rPr>
        <w:t>Las columnas del historial deben poder ordenarse.</w:t>
      </w:r>
    </w:p>
    <w:p>
      <w:pPr>
        <w:pStyle w:val="ListBullet"/>
        <w:spacing w:after="40" w:line="240" w:lineRule="auto"/>
      </w:pPr>
      <w:r>
        <w:rPr>
          <w:rFonts w:ascii="Carlito" w:hAnsi="Carlito" w:eastAsia="Carlito"/>
          <w:sz w:val="20"/>
        </w:rPr>
        <w:t>La consulta sin filtro no debe limitarse a un único registro.</w:t>
      </w:r>
    </w:p>
    <w:p>
      <w:pPr>
        <w:pStyle w:val="ListBullet"/>
        <w:spacing w:after="40" w:line="240" w:lineRule="auto"/>
      </w:pPr>
      <w:r>
        <w:rPr>
          <w:rFonts w:ascii="Carlito" w:hAnsi="Carlito" w:eastAsia="Carlito"/>
          <w:sz w:val="20"/>
        </w:rPr>
        <w:t>Las fechas, usuarios y valores anterior/nuevo deben ser legibles.</w:t>
      </w:r>
    </w:p>
    <w:p>
      <w:pPr>
        <w:pStyle w:val="Heading2"/>
        <w:keepNext/>
      </w:pPr>
      <w:r>
        <w:t>4.7 Sistema de puntos</w:t>
      </w:r>
    </w:p>
    <w:p>
      <w:pPr>
        <w:pStyle w:val="BodyText"/>
        <w:keepLines w:val="0"/>
        <w:spacing w:after="100" w:line="259" w:lineRule="auto"/>
        <w:ind w:left="0"/>
      </w:pPr>
      <w:r>
        <w:rPr>
          <w:rFonts w:ascii="Carlito" w:hAnsi="Carlito" w:eastAsia="Carlito"/>
          <w:i w:val="0"/>
          <w:sz w:val="21"/>
        </w:rPr>
        <w:t>La zona Nivel de puntos debe tener anchura suficiente para mostrar el texto explicativo completo. Antes de utilizarla, comprobar la configuración comercial y el efecto en clientes y ventas.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artículo: Datos de compras, Datos de ventas, coste y tarifas</w:t>
            </w:r>
          </w:p>
        </w:tc>
      </w:tr>
    </w:tbl>
    <w:p>
      <w:pPr>
        <w:spacing w:after="40"/>
      </w:pPr>
    </w:p>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nuevo acceso Históricos al histórico de operaciones. La figura principal es una composición documental sobre la captura real del 22/07/2026, porque todavía no se dispone de una captura directa posterior al último cambio.</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BodyText"/>
        <w:spacing w:after="160"/>
        <w:jc w:val="center"/>
      </w:pPr>
      <w:r>
        <w:rPr>
          <w:i/>
          <w:color w:val="464E5A"/>
          <w:sz w:val="18"/>
        </w:rPr>
        <w:t>Figura 5.1. Composición documental actualizada sobre una captura real de Ventas; incorpora el nuevo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rPr>
          <w:cantSplit/>
        </w:trP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rPr>
          <w:cantSplit/>
        </w:trP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rPr>
          <w:cantSplit/>
        </w:trP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rPr>
          <w:cantSplit/>
        </w:trP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rPr>
          <w:cantSplit/>
        </w:trP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rPr>
          <w:cantSplit/>
        </w:trP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rPr>
          <w:cantSplit/>
        </w:trP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rPr>
          <w:cantSplit/>
        </w:trP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rPr>
          <w:cantSplit/>
        </w:trP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rPr>
          <w:cantSplit/>
        </w:trP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rPr>
          <w:cantSplit/>
        </w:trP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rPr>
          <w:cantSplit/>
        </w:trP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rPr>
          <w:cantSplit/>
        </w:trP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rPr>
          <w:cantSplit/>
        </w:trP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rPr>
          <w:cantSplit/>
        </w:trP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rPr>
          <w:cantSplit/>
        </w:trP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rPr>
          <w:cantSplit/>
        </w:trP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rPr>
          <w:cantSplit/>
        </w:trP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rPr>
          <w:cantSplit/>
        </w:trP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rPr>
          <w:cantSplit/>
        </w:trP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rPr>
          <w:cantSplit/>
        </w:trP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rPr>
          <w:cantSplit/>
        </w:trP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rPr>
          <w:cantSplit/>
        </w:trP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rPr>
          <w:cantSplit/>
        </w:trP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rPr>
          <w:cantSplit/>
        </w:trP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rPr>
          <w:cantSplit/>
        </w:trP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rPr>
          <w:cantSplit/>
        </w:trP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rPr>
          <w:cantSplit/>
        </w:trP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rPr>
          <w:cantSplit/>
        </w:trP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rPr>
          <w:cantSplit/>
        </w:trP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rPr>
          <w:cantSplit/>
        </w:trP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rPr>
          <w:cantSplit/>
        </w:trP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rPr>
          <w:cantSplit/>
        </w:trP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rPr>
          <w:cantSplit/>
        </w:trP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rPr>
          <w:cantSplit/>
        </w:trP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rPr>
          <w:cantSplit/>
        </w:trP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rPr>
          <w:cantSplit/>
        </w:trP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rPr>
          <w:cantSplit/>
        </w:trP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rPr>
          <w:cantSplit/>
        </w:trP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rPr>
          <w:cantSplit/>
        </w:trP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rPr>
          <w:cantSplit/>
        </w:trP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rPr>
          <w:cantSplit/>
        </w:trP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rPr>
          <w:cantSplit/>
        </w:trP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rPr>
          <w:cantSplit/>
        </w:trP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rPr>
          <w:cantSplit/>
        </w:trP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rPr>
          <w:cantSplit/>
        </w:trP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rPr>
          <w:cantSplit/>
        </w:trP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rPr>
          <w:cantSplit/>
        </w:trP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rPr>
          <w:cantSplit/>
        </w:trP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rPr>
          <w:cantSplit/>
        </w:trP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Caja e informe de IVA por períodos validados. El módulo Créditos está modernizado, con algunos comportamientos todavía sensibles.</w:t>
            </w:r>
          </w:p>
        </w:tc>
      </w:tr>
    </w:tbl>
    <w:p>
      <w:pPr>
        <w:spacing w:after="20"/>
      </w:pPr>
    </w:p>
    <w:p>
      <w:pPr>
        <w:pStyle w:val="Heading2"/>
        <w:keepNext/>
      </w:pPr>
      <w:r>
        <w:t>6.1 Apertura, movimientos y cierre</w:t>
      </w:r>
    </w:p>
    <w:p>
      <w:pPr>
        <w:pStyle w:val="BodyText"/>
        <w:keepLines w:val="0"/>
        <w:spacing w:after="100" w:line="259" w:lineRule="auto"/>
        <w:ind w:left="0"/>
      </w:pPr>
      <w:r>
        <w:rPr>
          <w:rFonts w:ascii="Carlito" w:hAnsi="Carlito" w:eastAsia="Carlito"/>
          <w:i w:val="0"/>
          <w:sz w:val="21"/>
        </w:rPr>
        <w:t>La gestión de caja debe reflejar cobros, pagos, ingresos, retiradas y arqueos. Los importes negativos deben visualizarse con signo menos y color diferenciado, sin impedir su registro cuando sean válidos.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Saldo inicial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Movimientos del día completos.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Pagos e ingresos con concepto identificable.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Efectivo contado y comparado con el saldo teórico.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Diferencias justificadas.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Cierre o arqueo guardado e impreso cuando proceda.</w:t>
            </w:r>
          </w:p>
        </w:tc>
      </w:tr>
    </w:tbl>
    <w:p>
      <w:pPr>
        <w:spacing w:after="40"/>
      </w:pPr>
    </w:p>
    <w:p>
      <w:pPr>
        <w:pStyle w:val="Heading2"/>
        <w:keepNext/>
      </w:pPr>
      <w:r>
        <w:t>6.2 Créditos de clientes</w:t>
      </w:r>
    </w:p>
    <w:p>
      <w:pPr>
        <w:pStyle w:val="BodyText"/>
        <w:keepLines w:val="0"/>
        <w:spacing w:after="100" w:line="259" w:lineRule="auto"/>
        <w:ind w:left="0"/>
      </w:pPr>
      <w:r>
        <w:rPr>
          <w:rFonts w:ascii="Carlito" w:hAnsi="Carlito" w:eastAsia="Carlito"/>
          <w:i w:val="0"/>
          <w:sz w:val="21"/>
        </w:rPr>
        <w:t>El módulo Créditos permite registrar importes pendientes y saldarlos posteriormente. La selección debe ser legible y el cuadro de totales debe destacar claramente.</w:t>
      </w:r>
    </w:p>
    <w:p>
      <w:pPr>
        <w:pStyle w:val="ListBullet"/>
        <w:spacing w:after="40" w:line="240" w:lineRule="auto"/>
      </w:pPr>
      <w:r>
        <w:rPr>
          <w:rFonts w:ascii="Carlito" w:hAnsi="Carlito" w:eastAsia="Carlito"/>
          <w:sz w:val="20"/>
        </w:rPr>
        <w:t>Para borrar una línea, seleccionarla antes y utilizar el botón Borrar.</w:t>
      </w:r>
    </w:p>
    <w:p>
      <w:pPr>
        <w:pStyle w:val="ListBullet"/>
        <w:spacing w:after="40" w:line="240" w:lineRule="auto"/>
      </w:pPr>
      <w:r>
        <w:rPr>
          <w:rFonts w:ascii="Carlito" w:hAnsi="Carlito" w:eastAsia="Carlito"/>
          <w:sz w:val="20"/>
        </w:rPr>
        <w:t>La operación de borrado debe comprobar que la línea es la correcta y puede requerir confirmación.</w:t>
      </w:r>
    </w:p>
    <w:p>
      <w:pPr>
        <w:pStyle w:val="ListBullet"/>
        <w:spacing w:after="40" w:line="240" w:lineRule="auto"/>
      </w:pPr>
      <w:r>
        <w:rPr>
          <w:rFonts w:ascii="Carlito" w:hAnsi="Carlito" w:eastAsia="Carlito"/>
          <w:sz w:val="20"/>
        </w:rPr>
        <w:t>Saldar debe considerar el origen del crédito: albarán, ticket o factura.</w:t>
      </w:r>
    </w:p>
    <w:p>
      <w:pPr>
        <w:pStyle w:val="ListBullet"/>
        <w:spacing w:after="40" w:line="240" w:lineRule="auto"/>
      </w:pPr>
      <w:r>
        <w:rPr>
          <w:rFonts w:ascii="Carlito" w:hAnsi="Carlito" w:eastAsia="Carlito"/>
          <w:sz w:val="20"/>
        </w:rPr>
        <w:t>El selector de series debe mostrar texto con contraste suficiente.</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HISTÓRICO: </w:t>
            </w:r>
            <w:r>
              <w:rPr>
                <w:rFonts w:ascii="Carlito" w:hAnsi="Carlito" w:eastAsia="Carlito"/>
                <w:color w:val="000000"/>
                <w:sz w:val="19"/>
              </w:rPr>
              <w:t>Las correcciones del pago no deben perder el control de los datos importados desde el histórico. Si el origen es un albarán, no debe exigirse una serie de ticket inexistente.</w:t>
            </w:r>
          </w:p>
        </w:tc>
      </w:tr>
    </w:tbl>
    <w:p>
      <w:pPr>
        <w:spacing w:after="20"/>
      </w:pPr>
    </w:p>
    <w:p>
      <w:pPr>
        <w:pStyle w:val="Heading2"/>
        <w:keepNext/>
      </w:pPr>
      <w:r>
        <w:t>6.3 Informe de IVA por períodos</w:t>
      </w:r>
    </w:p>
    <w:p>
      <w:pPr>
        <w:pStyle w:val="BodyText"/>
        <w:keepLines w:val="0"/>
        <w:spacing w:after="100" w:line="259" w:lineRule="auto"/>
        <w:ind w:left="0"/>
      </w:pPr>
      <w:r>
        <w:rPr>
          <w:rFonts w:ascii="Carlito" w:hAnsi="Carlito" w:eastAsia="Carlito"/>
          <w:i w:val="0"/>
          <w:sz w:val="21"/>
        </w:rPr>
        <w:t>El informe de IVA permite seleccionar mes, trimestre, año o un período libre. Puede obtenerse por puesto o de forma global, utilizando los datos de caja del período.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Abrir el informe de IVA por períodos.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Seleccionar el tipo de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Indicar fechas, tienda o puesto cuando corresponda.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Generar el PDF y abrir la previsualización.</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Comprobar bases, cuotas, tipos de IVA y totales.</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VALIDADO: </w:t>
            </w:r>
            <w:r>
              <w:rPr>
                <w:rFonts w:ascii="Carlito" w:hAnsi="Carlito" w:eastAsia="Carlito"/>
                <w:color w:val="000000"/>
                <w:sz w:val="19"/>
              </w:rPr>
              <w:t>La generación directa de PDF con previsualización fue comprobada como correcta.</w:t>
            </w:r>
          </w:p>
        </w:tc>
      </w:tr>
    </w:tbl>
    <w:p>
      <w:pPr>
        <w:spacing w:after="20"/>
      </w:pPr>
    </w:p>
    <w:p>
      <w:pPr>
        <w:pStyle w:val="Heading2"/>
        <w:keepNext/>
      </w:pPr>
      <w:r>
        <w:t>6.4 Errores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798"/>
            <w:shd w:fill="1F4E78"/>
            <w:vAlign w:val="center"/>
          </w:tcPr>
          <w:p>
            <w:r>
              <w:rPr>
                <w:rFonts w:ascii="Carlito" w:hAnsi="Carlito" w:eastAsia="Carlito"/>
                <w:b/>
                <w:color w:val="FFFFFF"/>
                <w:sz w:val="18"/>
              </w:rPr>
              <w:t>Síntoma</w:t>
            </w:r>
          </w:p>
        </w:tc>
        <w:tc>
          <w:tcPr>
            <w:tcW w:type="dxa" w:w="5556"/>
            <w:shd w:fill="1F4E78"/>
            <w:vAlign w:val="center"/>
          </w:tcPr>
          <w:p>
            <w:r>
              <w:rPr>
                <w:rFonts w:ascii="Carlito" w:hAnsi="Carlito" w:eastAsia="Carlito"/>
                <w:b/>
                <w:color w:val="FFFFFF"/>
                <w:sz w:val="18"/>
              </w:rPr>
              <w:t>Comprobación</w:t>
            </w:r>
          </w:p>
        </w:tc>
      </w:tr>
      <w:tr>
        <w:trPr>
          <w:cantSplit/>
        </w:trPr>
        <w:tc>
          <w:tcPr>
            <w:tcW w:type="dxa" w:w="3798"/>
            <w:vAlign w:val="center"/>
          </w:tcPr>
          <w:p>
            <w:r>
              <w:rPr>
                <w:rFonts w:ascii="Carlito" w:hAnsi="Carlito" w:eastAsia="Carlito"/>
                <w:sz w:val="18"/>
              </w:rPr>
              <w:t>No se borra un crédito</w:t>
            </w:r>
          </w:p>
        </w:tc>
        <w:tc>
          <w:tcPr>
            <w:tcW w:type="dxa" w:w="5556"/>
            <w:vAlign w:val="center"/>
          </w:tcPr>
          <w:p>
            <w:r>
              <w:rPr>
                <w:rFonts w:ascii="Carlito" w:hAnsi="Carlito" w:eastAsia="Carlito"/>
                <w:sz w:val="18"/>
              </w:rPr>
              <w:t>Seleccionar la línea, revisar el botón Borrar y confirmar permisos.</w:t>
            </w:r>
          </w:p>
        </w:tc>
      </w:tr>
      <w:tr>
        <w:trPr>
          <w:cantSplit/>
        </w:trPr>
        <w:tc>
          <w:tcPr>
            <w:tcW w:type="dxa" w:w="3798"/>
            <w:shd w:fill="F2F2F2"/>
            <w:vAlign w:val="center"/>
          </w:tcPr>
          <w:p>
            <w:r>
              <w:rPr>
                <w:rFonts w:ascii="Carlito" w:hAnsi="Carlito" w:eastAsia="Carlito"/>
                <w:sz w:val="18"/>
              </w:rPr>
              <w:t>Pide serie y número al abonar un albarán</w:t>
            </w:r>
          </w:p>
        </w:tc>
        <w:tc>
          <w:tcPr>
            <w:tcW w:type="dxa" w:w="5556"/>
            <w:shd w:fill="F2F2F2"/>
            <w:vAlign w:val="center"/>
          </w:tcPr>
          <w:p>
            <w:r>
              <w:rPr>
                <w:rFonts w:ascii="Carlito" w:hAnsi="Carlito" w:eastAsia="Carlito"/>
                <w:sz w:val="18"/>
              </w:rPr>
              <w:t>Verificar que no se está tratando el albarán como ticket.</w:t>
            </w:r>
          </w:p>
        </w:tc>
      </w:tr>
      <w:tr>
        <w:trPr>
          <w:cantSplit/>
        </w:trPr>
        <w:tc>
          <w:tcPr>
            <w:tcW w:type="dxa" w:w="3798"/>
            <w:vAlign w:val="center"/>
          </w:tcPr>
          <w:p>
            <w:r>
              <w:rPr>
                <w:rFonts w:ascii="Carlito" w:hAnsi="Carlito" w:eastAsia="Carlito"/>
                <w:sz w:val="18"/>
              </w:rPr>
              <w:t>Totales poco visibles</w:t>
            </w:r>
          </w:p>
        </w:tc>
        <w:tc>
          <w:tcPr>
            <w:tcW w:type="dxa" w:w="5556"/>
            <w:vAlign w:val="center"/>
          </w:tcPr>
          <w:p>
            <w:r>
              <w:rPr>
                <w:rFonts w:ascii="Carlito" w:hAnsi="Carlito" w:eastAsia="Carlito"/>
                <w:sz w:val="18"/>
              </w:rPr>
              <w:t>Comprobar versión del formulario y contraste de la fila seleccionada.</w:t>
            </w:r>
          </w:p>
        </w:tc>
      </w:tr>
      <w:tr>
        <w:trPr>
          <w:cantSplit/>
        </w:trPr>
        <w:tc>
          <w:tcPr>
            <w:tcW w:type="dxa" w:w="3798"/>
            <w:shd w:fill="F2F2F2"/>
            <w:vAlign w:val="center"/>
          </w:tcPr>
          <w:p>
            <w:r>
              <w:rPr>
                <w:rFonts w:ascii="Carlito" w:hAnsi="Carlito" w:eastAsia="Carlito"/>
                <w:sz w:val="18"/>
              </w:rPr>
              <w:t>Importe negativo sin signo</w:t>
            </w:r>
          </w:p>
        </w:tc>
        <w:tc>
          <w:tcPr>
            <w:tcW w:type="dxa" w:w="5556"/>
            <w:shd w:fill="F2F2F2"/>
            <w:vAlign w:val="center"/>
          </w:tcPr>
          <w:p>
            <w:r>
              <w:rPr>
                <w:rFonts w:ascii="Carlito" w:hAnsi="Carlito" w:eastAsia="Carlito"/>
                <w:sz w:val="18"/>
              </w:rPr>
              <w:t>Revisar formato y evento de dibujo del grid.</w:t>
            </w:r>
          </w:p>
        </w:tc>
      </w:tr>
    </w:tbl>
    <w:p>
      <w:pPr>
        <w:spacing w:after="40"/>
      </w:pPr>
    </w:p>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Pedido automático por proveedor en versión final provisional para pruebas reales.</w:t>
            </w:r>
          </w:p>
        </w:tc>
      </w:tr>
    </w:tbl>
    <w:p>
      <w:pPr>
        <w:spacing w:after="20"/>
      </w:pPr>
    </w:p>
    <w:p>
      <w:pPr>
        <w:pStyle w:val="Heading2"/>
        <w:keepNext/>
      </w:pPr>
      <w:r>
        <w:t>7.1 Pedidos a proveedores</w:t>
      </w:r>
    </w:p>
    <w:p>
      <w:pPr>
        <w:pStyle w:val="BodyText"/>
        <w:keepLines w:val="0"/>
        <w:spacing w:after="100" w:line="259" w:lineRule="auto"/>
        <w:ind w:left="0"/>
      </w:pPr>
      <w:r>
        <w:rPr>
          <w:rFonts w:ascii="Carlito" w:hAnsi="Carlito" w:eastAsia="Carlito"/>
          <w:i w:val="0"/>
          <w:sz w:val="21"/>
        </w:rPr>
        <w:t>Los pedidos reúnen artículos, cantidades, proveedor y condiciones de compra. Antes de generar un pedido real debe revisarse que los códigos, unidades y proveedor sean correctos.</w:t>
      </w:r>
    </w:p>
    <w:p>
      <w:pPr>
        <w:pStyle w:val="Heading2"/>
        <w:keepNext/>
      </w:pPr>
      <w:r>
        <w:t>7.2 Pedido automático por proveedor</w:t>
      </w:r>
    </w:p>
    <w:p>
      <w:pPr>
        <w:pStyle w:val="BodyText"/>
        <w:keepLines w:val="0"/>
        <w:spacing w:after="100" w:line="259" w:lineRule="auto"/>
        <w:ind w:left="0"/>
      </w:pPr>
      <w:r>
        <w:rPr>
          <w:rFonts w:ascii="Carlito" w:hAnsi="Carlito" w:eastAsia="Carlito"/>
          <w:i w:val="0"/>
          <w:sz w:val="21"/>
        </w:rPr>
        <w:t>El pedido sugerido se calcula principalmente a partir de las ventas, dado que las existencias pueden no ser totalmente fiables. El cálculo utiliza días de ventas, días de cobertura y stock disponible.</w:t>
      </w:r>
    </w:p>
    <w:p>
      <w:pPr>
        <w:pStyle w:val="BodyText"/>
        <w:keepLines w:val="0"/>
        <w:spacing w:after="100" w:line="259" w:lineRule="auto"/>
        <w:ind w:left="0"/>
      </w:pPr>
      <w:r>
        <w:rPr>
          <w:rFonts w:ascii="Carlito" w:hAnsi="Carlito" w:eastAsia="Carlito"/>
          <w:i w:val="0"/>
          <w:sz w:val="21"/>
        </w:rPr>
        <w:t>Fórmula orientativa: promedio diario de ventas x días de cobertura - stock actual. El resultado debe revisarse antes de convertirlo en pedido real.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438"/>
            <w:shd w:fill="1F4E78"/>
            <w:vAlign w:val="center"/>
          </w:tcPr>
          <w:p>
            <w:r>
              <w:rPr>
                <w:rFonts w:ascii="Carlito" w:hAnsi="Carlito" w:eastAsia="Carlito"/>
                <w:b/>
                <w:color w:val="FFFFFF"/>
                <w:sz w:val="18"/>
              </w:rPr>
              <w:t>Parámetro</w:t>
            </w:r>
          </w:p>
        </w:tc>
        <w:tc>
          <w:tcPr>
            <w:tcW w:type="dxa" w:w="6917"/>
            <w:shd w:fill="1F4E78"/>
            <w:vAlign w:val="center"/>
          </w:tcPr>
          <w:p>
            <w:r>
              <w:rPr>
                <w:rFonts w:ascii="Carlito" w:hAnsi="Carlito" w:eastAsia="Carlito"/>
                <w:b/>
                <w:color w:val="FFFFFF"/>
                <w:sz w:val="18"/>
              </w:rPr>
              <w:t>Descripción</w:t>
            </w:r>
          </w:p>
        </w:tc>
      </w:tr>
      <w:tr>
        <w:trPr>
          <w:cantSplit/>
        </w:trPr>
        <w:tc>
          <w:tcPr>
            <w:tcW w:type="dxa" w:w="2438"/>
            <w:vAlign w:val="center"/>
          </w:tcPr>
          <w:p>
            <w:r>
              <w:rPr>
                <w:rFonts w:ascii="Carlito" w:hAnsi="Carlito" w:eastAsia="Carlito"/>
                <w:sz w:val="18"/>
              </w:rPr>
              <w:t>Días de ventas</w:t>
            </w:r>
          </w:p>
        </w:tc>
        <w:tc>
          <w:tcPr>
            <w:tcW w:type="dxa" w:w="6917"/>
            <w:vAlign w:val="center"/>
          </w:tcPr>
          <w:p>
            <w:r>
              <w:rPr>
                <w:rFonts w:ascii="Carlito" w:hAnsi="Carlito" w:eastAsia="Carlito"/>
                <w:sz w:val="18"/>
              </w:rPr>
              <w:t>Período histórico utilizado para calcular el consumo medio.</w:t>
            </w:r>
          </w:p>
        </w:tc>
      </w:tr>
      <w:tr>
        <w:trPr>
          <w:cantSplit/>
        </w:trPr>
        <w:tc>
          <w:tcPr>
            <w:tcW w:type="dxa" w:w="2438"/>
            <w:shd w:fill="F2F2F2"/>
            <w:vAlign w:val="center"/>
          </w:tcPr>
          <w:p>
            <w:r>
              <w:rPr>
                <w:rFonts w:ascii="Carlito" w:hAnsi="Carlito" w:eastAsia="Carlito"/>
                <w:sz w:val="18"/>
              </w:rPr>
              <w:t>Días de cobertura</w:t>
            </w:r>
          </w:p>
        </w:tc>
        <w:tc>
          <w:tcPr>
            <w:tcW w:type="dxa" w:w="6917"/>
            <w:shd w:fill="F2F2F2"/>
            <w:vAlign w:val="center"/>
          </w:tcPr>
          <w:p>
            <w:r>
              <w:rPr>
                <w:rFonts w:ascii="Carlito" w:hAnsi="Carlito" w:eastAsia="Carlito"/>
                <w:sz w:val="18"/>
              </w:rPr>
              <w:t>Número de días que se desea cubrir con el pedido.</w:t>
            </w:r>
          </w:p>
        </w:tc>
      </w:tr>
      <w:tr>
        <w:trPr>
          <w:cantSplit/>
        </w:trPr>
        <w:tc>
          <w:tcPr>
            <w:tcW w:type="dxa" w:w="2438"/>
            <w:vAlign w:val="center"/>
          </w:tcPr>
          <w:p>
            <w:r>
              <w:rPr>
                <w:rFonts w:ascii="Carlito" w:hAnsi="Carlito" w:eastAsia="Carlito"/>
                <w:sz w:val="18"/>
              </w:rPr>
              <w:t>Proveedor</w:t>
            </w:r>
          </w:p>
        </w:tc>
        <w:tc>
          <w:tcPr>
            <w:tcW w:type="dxa" w:w="6917"/>
            <w:vAlign w:val="center"/>
          </w:tcPr>
          <w:p>
            <w:r>
              <w:rPr>
                <w:rFonts w:ascii="Carlito" w:hAnsi="Carlito" w:eastAsia="Carlito"/>
                <w:sz w:val="18"/>
              </w:rPr>
              <w:t>Filtro por proveedor seleccionado.</w:t>
            </w:r>
          </w:p>
        </w:tc>
      </w:tr>
      <w:tr>
        <w:trPr>
          <w:cantSplit/>
        </w:trPr>
        <w:tc>
          <w:tcPr>
            <w:tcW w:type="dxa" w:w="2438"/>
            <w:shd w:fill="F2F2F2"/>
            <w:vAlign w:val="center"/>
          </w:tcPr>
          <w:p>
            <w:r>
              <w:rPr>
                <w:rFonts w:ascii="Carlito" w:hAnsi="Carlito" w:eastAsia="Carlito"/>
                <w:sz w:val="18"/>
              </w:rPr>
              <w:t>Excluir sin ventas</w:t>
            </w:r>
          </w:p>
        </w:tc>
        <w:tc>
          <w:tcPr>
            <w:tcW w:type="dxa" w:w="6917"/>
            <w:shd w:fill="F2F2F2"/>
            <w:vAlign w:val="center"/>
          </w:tcPr>
          <w:p>
            <w:r>
              <w:rPr>
                <w:rFonts w:ascii="Carlito" w:hAnsi="Carlito" w:eastAsia="Carlito"/>
                <w:sz w:val="18"/>
              </w:rPr>
              <w:t>Evita sugerir artículos sin movimiento reciente.</w:t>
            </w:r>
          </w:p>
        </w:tc>
      </w:tr>
      <w:tr>
        <w:trPr>
          <w:cantSplit/>
        </w:trPr>
        <w:tc>
          <w:tcPr>
            <w:tcW w:type="dxa" w:w="2438"/>
            <w:vAlign w:val="center"/>
          </w:tcPr>
          <w:p>
            <w:r>
              <w:rPr>
                <w:rFonts w:ascii="Carlito" w:hAnsi="Carlito" w:eastAsia="Carlito"/>
                <w:sz w:val="18"/>
              </w:rPr>
              <w:t>Límite de líneas</w:t>
            </w:r>
          </w:p>
        </w:tc>
        <w:tc>
          <w:tcPr>
            <w:tcW w:type="dxa" w:w="6917"/>
            <w:vAlign w:val="center"/>
          </w:tcPr>
          <w:p>
            <w:r>
              <w:rPr>
                <w:rFonts w:ascii="Carlito" w:hAnsi="Carlito" w:eastAsia="Carlito"/>
                <w:sz w:val="18"/>
              </w:rPr>
              <w:t>Controla el tamaño de la propuesta.</w:t>
            </w:r>
          </w:p>
        </w:tc>
      </w:tr>
    </w:tbl>
    <w:p>
      <w:pPr>
        <w:spacing w:after="40"/>
      </w:pP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proveedor por código o nombre.</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días de ventas y cobertura.</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Aplicar filtros y generar la propuesta.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Ordenar columnas y revisar cantidades.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Exportar a CSV, PDF o impresión si se desea.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Crear un borrador o pedido real únicamente después de la revisión.</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NO AUTOMÁTICO: </w:t>
            </w:r>
            <w:r>
              <w:rPr>
                <w:rFonts w:ascii="Carlito" w:hAnsi="Carlito" w:eastAsia="Carlito"/>
                <w:color w:val="000000"/>
                <w:sz w:val="19"/>
              </w:rPr>
              <w:t>La sugerencia es una ayuda a la decisión, no una orden definitiva. Promociones, estacionalidad, pedidos ya enviados y cambios de proveedor pueden modificar la necesidad real.</w:t>
            </w:r>
          </w:p>
        </w:tc>
      </w:tr>
    </w:tbl>
    <w:p>
      <w:pPr>
        <w:spacing w:after="20"/>
      </w:pPr>
    </w:p>
    <w:p>
      <w:pPr>
        <w:pStyle w:val="Heading2"/>
        <w:keepNext/>
      </w:pPr>
      <w:r>
        <w:t>7.3 Actualización de existencias</w:t>
      </w:r>
    </w:p>
    <w:p>
      <w:pPr>
        <w:pStyle w:val="BodyText"/>
        <w:keepLines w:val="0"/>
        <w:spacing w:after="100" w:line="259" w:lineRule="auto"/>
        <w:ind w:left="0"/>
      </w:pPr>
      <w:r>
        <w:rPr>
          <w:rFonts w:ascii="Carlito" w:hAnsi="Carlito" w:eastAsia="Carlito"/>
          <w:i w:val="0"/>
          <w:sz w:val="21"/>
        </w:rPr>
        <w:t>La consulta de historial permite revisar todos los cambios o filtrar por artículo. Las columnas deben ser ordenables y la búsqueda sin código debe mostrar el conjunto completo de movimientos.</w:t>
      </w:r>
    </w:p>
    <w:p>
      <w:pPr>
        <w:pStyle w:val="Heading2"/>
        <w:keepNext/>
      </w:pPr>
      <w:r>
        <w:t>7.4 Importación de pedidos</w:t>
      </w:r>
    </w:p>
    <w:p>
      <w:pPr>
        <w:pStyle w:val="BodyText"/>
        <w:keepLines w:val="0"/>
        <w:spacing w:after="100" w:line="259" w:lineRule="auto"/>
        <w:ind w:left="0"/>
      </w:pPr>
      <w:r>
        <w:rPr>
          <w:rFonts w:ascii="Carlito" w:hAnsi="Carlito" w:eastAsia="Carlito"/>
          <w:i w:val="0"/>
          <w:sz w:val="21"/>
        </w:rPr>
        <w:t>Los procesos de importación deben mapear los campos por nombre cuando sea posible. El acceso posicional mediante Fields[n] puede provocar errores si cambia el orden de los campos. Antes de modificar este código debe localizarse el dataset exacto y verificar cada índice.</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DESARROLLO: </w:t>
            </w:r>
            <w:r>
              <w:rPr>
                <w:rFonts w:ascii="Carlito" w:hAnsi="Carlito" w:eastAsia="Carlito"/>
                <w:color w:val="000000"/>
                <w:sz w:val="19"/>
              </w:rPr>
              <w:t>No asumir que un índice representa siempre la misma columna. Documentar los accesos posicionales y sustituirlos progresivamente por FieldByName cuando sea seguro.</w:t>
            </w:r>
          </w:p>
        </w:tc>
      </w:tr>
    </w:tbl>
    <w:p>
      <w:pPr>
        <w:spacing w:after="20"/>
      </w:pPr>
    </w:p>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Generación de PDF y columna de descuento validadas en la revisión correspondiente. Las plantillas .lrf requieren control de compatibilidad.</w:t>
            </w:r>
          </w:p>
        </w:tc>
      </w:tr>
    </w:tbl>
    <w:p>
      <w:pPr>
        <w:spacing w:after="20"/>
      </w:pPr>
    </w:p>
    <w:p>
      <w:pPr>
        <w:pStyle w:val="Heading2"/>
        <w:keepNext/>
      </w:pPr>
      <w:r>
        <w:t>8.1 Facturación de albaranes</w:t>
      </w:r>
    </w:p>
    <w:p>
      <w:pPr>
        <w:pStyle w:val="BodyText"/>
        <w:keepLines w:val="0"/>
        <w:spacing w:after="100" w:line="259" w:lineRule="auto"/>
        <w:ind w:left="0"/>
      </w:pPr>
      <w:r>
        <w:rPr>
          <w:rFonts w:ascii="Carlito" w:hAnsi="Carlito" w:eastAsia="Carlito"/>
          <w:i w:val="0"/>
          <w:sz w:val="21"/>
        </w:rPr>
        <w:t>La facturación convierte albaranes en facturas según cliente, serie y criterios seleccionados. Antes de confirmar, revisar el período, documentos incluidos, cliente y totales.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albaranes pertenecen al cliente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 existen documentos ya facturados o anulados incluidos por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serie de factura es correcta.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líneas, descuentos e IVA coinciden con el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numeración siguiente es válida.</w:t>
            </w:r>
          </w:p>
        </w:tc>
      </w:tr>
    </w:tbl>
    <w:p>
      <w:pPr>
        <w:spacing w:after="40"/>
      </w:pPr>
    </w:p>
    <w:p>
      <w:pPr>
        <w:pStyle w:val="Heading2"/>
        <w:keepNext/>
      </w:pPr>
      <w:r>
        <w:t>8.2 Información de descuentos</w:t>
      </w:r>
    </w:p>
    <w:p>
      <w:pPr>
        <w:pStyle w:val="BodyText"/>
        <w:keepLines w:val="0"/>
        <w:spacing w:after="100" w:line="259" w:lineRule="auto"/>
        <w:ind w:left="0"/>
      </w:pPr>
      <w:r>
        <w:rPr>
          <w:rFonts w:ascii="Carlito" w:hAnsi="Carlito" w:eastAsia="Carlito"/>
          <w:i w:val="0"/>
          <w:sz w:val="21"/>
        </w:rPr>
        <w:t>Las facturas PDF deben mostrar una columna Dto entre PVP y Total línea cuando existen descuentos. El porcentaje debe presentarse con dos decimales, evitando que el total parezca incoherente respecto a cantidad y precio.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EJEMPLO: </w:t>
            </w:r>
            <w:r>
              <w:rPr>
                <w:rFonts w:ascii="Carlito" w:hAnsi="Carlito" w:eastAsia="Carlito"/>
                <w:color w:val="000000"/>
                <w:sz w:val="19"/>
              </w:rPr>
              <w:t>Cantidad 2, PVP 3,55, descuento 25,00 % y total de línea 5,33. Sin la columna Dto, el lector no puede explicar la diferencia.</w:t>
            </w:r>
          </w:p>
        </w:tc>
      </w:tr>
    </w:tbl>
    <w:p>
      <w:pPr>
        <w:spacing w:after="20"/>
      </w:pPr>
    </w:p>
    <w:p>
      <w:pPr>
        <w:pStyle w:val="Heading2"/>
        <w:keepNext/>
      </w:pPr>
      <w:r>
        <w:t>8.3 Plantillas .lrf</w:t>
      </w:r>
    </w:p>
    <w:p>
      <w:pPr>
        <w:pStyle w:val="BodyText"/>
        <w:keepLines w:val="0"/>
        <w:spacing w:after="100" w:line="259" w:lineRule="auto"/>
        <w:ind w:left="0"/>
      </w:pPr>
      <w:r>
        <w:rPr>
          <w:rFonts w:ascii="Carlito" w:hAnsi="Carlito" w:eastAsia="Carlito"/>
          <w:i w:val="0"/>
          <w:sz w:val="21"/>
        </w:rPr>
        <w:t>Las plantillas de LazReport contienen objetos y expresiones enlazadas a datasets. Si una plantilla solicita un campo inexistente, la generación se detiene con un error de cálculo.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835"/>
            <w:shd w:fill="1F4E78"/>
            <w:vAlign w:val="center"/>
          </w:tcPr>
          <w:p>
            <w:r>
              <w:rPr>
                <w:rFonts w:ascii="Carlito" w:hAnsi="Carlito" w:eastAsia="Carlito"/>
                <w:b/>
                <w:color w:val="FFFFFF"/>
                <w:sz w:val="18"/>
              </w:rPr>
              <w:t>Error</w:t>
            </w:r>
          </w:p>
        </w:tc>
        <w:tc>
          <w:tcPr>
            <w:tcW w:type="dxa" w:w="3402"/>
            <w:shd w:fill="1F4E78"/>
            <w:vAlign w:val="center"/>
          </w:tcPr>
          <w:p>
            <w:r>
              <w:rPr>
                <w:rFonts w:ascii="Carlito" w:hAnsi="Carlito" w:eastAsia="Carlito"/>
                <w:b/>
                <w:color w:val="FFFFFF"/>
                <w:sz w:val="18"/>
              </w:rPr>
              <w:t>Causa probable</w:t>
            </w:r>
          </w:p>
        </w:tc>
        <w:tc>
          <w:tcPr>
            <w:tcW w:type="dxa" w:w="3118"/>
            <w:shd w:fill="1F4E78"/>
            <w:vAlign w:val="center"/>
          </w:tcPr>
          <w:p>
            <w:r>
              <w:rPr>
                <w:rFonts w:ascii="Carlito" w:hAnsi="Carlito" w:eastAsia="Carlito"/>
                <w:b/>
                <w:color w:val="FFFFFF"/>
                <w:sz w:val="18"/>
              </w:rPr>
              <w:t>Acción</w:t>
            </w:r>
          </w:p>
        </w:tc>
      </w:tr>
      <w:tr>
        <w:trPr>
          <w:cantSplit/>
        </w:trPr>
        <w:tc>
          <w:tcPr>
            <w:tcW w:type="dxa" w:w="2835"/>
            <w:vAlign w:val="center"/>
          </w:tcPr>
          <w:p>
            <w:r>
              <w:rPr>
                <w:rFonts w:ascii="Carlito" w:hAnsi="Carlito" w:eastAsia="Carlito"/>
                <w:sz w:val="18"/>
              </w:rPr>
              <w:t>Undefined symbol dbImprimir."IMP5"</w:t>
            </w:r>
          </w:p>
        </w:tc>
        <w:tc>
          <w:tcPr>
            <w:tcW w:type="dxa" w:w="3402"/>
            <w:vAlign w:val="center"/>
          </w:tcPr>
          <w:p>
            <w:r>
              <w:rPr>
                <w:rFonts w:ascii="Carlito" w:hAnsi="Carlito" w:eastAsia="Carlito"/>
                <w:sz w:val="18"/>
              </w:rPr>
              <w:t>La plantilla contiene un Memo que referencia un campo no disponible.</w:t>
            </w:r>
          </w:p>
        </w:tc>
        <w:tc>
          <w:tcPr>
            <w:tcW w:type="dxa" w:w="3118"/>
            <w:vAlign w:val="center"/>
          </w:tcPr>
          <w:p>
            <w:r>
              <w:rPr>
                <w:rFonts w:ascii="Carlito" w:hAnsi="Carlito" w:eastAsia="Carlito"/>
                <w:sz w:val="18"/>
              </w:rPr>
              <w:t>Abrir la plantilla correcta, localizar el objeto y ajustar la expresión o proporcionar el campo.</w:t>
            </w:r>
          </w:p>
        </w:tc>
      </w:tr>
      <w:tr>
        <w:trPr>
          <w:cantSplit/>
        </w:trPr>
        <w:tc>
          <w:tcPr>
            <w:tcW w:type="dxa" w:w="2835"/>
            <w:shd w:fill="F2F2F2"/>
            <w:vAlign w:val="center"/>
          </w:tcPr>
          <w:p>
            <w:r>
              <w:rPr>
                <w:rFonts w:ascii="Carlito" w:hAnsi="Carlito" w:eastAsia="Carlito"/>
                <w:sz w:val="18"/>
              </w:rPr>
              <w:t>Error SQL cerca de AND</w:t>
            </w:r>
          </w:p>
        </w:tc>
        <w:tc>
          <w:tcPr>
            <w:tcW w:type="dxa" w:w="3402"/>
            <w:shd w:fill="F2F2F2"/>
            <w:vAlign w:val="center"/>
          </w:tcPr>
          <w:p>
            <w:r>
              <w:rPr>
                <w:rFonts w:ascii="Carlito" w:hAnsi="Carlito" w:eastAsia="Carlito"/>
                <w:sz w:val="18"/>
              </w:rPr>
              <w:t>Condición construida sin una cláusula previa o parámetro vacío.</w:t>
            </w:r>
          </w:p>
        </w:tc>
        <w:tc>
          <w:tcPr>
            <w:tcW w:type="dxa" w:w="3118"/>
            <w:shd w:fill="F2F2F2"/>
            <w:vAlign w:val="center"/>
          </w:tcPr>
          <w:p>
            <w:r>
              <w:rPr>
                <w:rFonts w:ascii="Carlito" w:hAnsi="Carlito" w:eastAsia="Carlito"/>
                <w:sz w:val="18"/>
              </w:rPr>
              <w:t>Revisar la SQL final y el valor de los filtros.</w:t>
            </w:r>
          </w:p>
        </w:tc>
      </w:tr>
      <w:tr>
        <w:trPr>
          <w:cantSplit/>
        </w:trPr>
        <w:tc>
          <w:tcPr>
            <w:tcW w:type="dxa" w:w="2835"/>
            <w:vAlign w:val="center"/>
          </w:tcPr>
          <w:p>
            <w:r>
              <w:rPr>
                <w:rFonts w:ascii="Carlito" w:hAnsi="Carlito" w:eastAsia="Carlito"/>
                <w:sz w:val="18"/>
              </w:rPr>
              <w:t>Se carga Documentos.lrf sin referencia visible</w:t>
            </w:r>
          </w:p>
        </w:tc>
        <w:tc>
          <w:tcPr>
            <w:tcW w:type="dxa" w:w="3402"/>
            <w:vAlign w:val="center"/>
          </w:tcPr>
          <w:p>
            <w:r>
              <w:rPr>
                <w:rFonts w:ascii="Carlito" w:hAnsi="Carlito" w:eastAsia="Carlito"/>
                <w:sz w:val="18"/>
              </w:rPr>
              <w:t>La ruta o el nombre puede construirse dinámicamente.</w:t>
            </w:r>
          </w:p>
        </w:tc>
        <w:tc>
          <w:tcPr>
            <w:tcW w:type="dxa" w:w="3118"/>
            <w:vAlign w:val="center"/>
          </w:tcPr>
          <w:p>
            <w:r>
              <w:rPr>
                <w:rFonts w:ascii="Carlito" w:hAnsi="Carlito" w:eastAsia="Carlito"/>
                <w:sz w:val="18"/>
              </w:rPr>
              <w:t>Buscar LoadFromFile, variables de ruta, recursos y configuración en tiempo de ejecución.</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modificar una plantilla de producción sin conservar una copia. Dos ficheros con nombres similares pueden no utilizarse en el mismo circuito.</w:t>
            </w:r>
          </w:p>
        </w:tc>
      </w:tr>
    </w:tbl>
    <w:p>
      <w:pPr>
        <w:spacing w:after="20"/>
      </w:pPr>
    </w:p>
    <w:p>
      <w:pPr>
        <w:pStyle w:val="Heading2"/>
        <w:keepNext/>
      </w:pPr>
      <w:r>
        <w:t>8.4 Generación de PDF</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documento o conjunto de documentos.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Generar el PDF.</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Abrir la previsualización.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cabecera, datos fiscales, líneas, descuentos, bases, IVA y totales.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que no existen textos cortados, columnas fuera de página o caracteres incorrectos.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Guardar o enviar únicamente después de la revisión.</w:t>
      </w:r>
    </w:p>
    <w:p>
      <w:pPr>
        <w:pStyle w:val="Heading2"/>
        <w:keepNext/>
      </w:pPr>
      <w:r>
        <w:t>8.5 Envío por correo</w:t>
      </w:r>
    </w:p>
    <w:p>
      <w:pPr>
        <w:pStyle w:val="BodyText"/>
        <w:keepLines w:val="0"/>
        <w:spacing w:after="100" w:line="259" w:lineRule="auto"/>
        <w:ind w:left="0"/>
      </w:pPr>
      <w:r>
        <w:rPr>
          <w:rFonts w:ascii="Carlito" w:hAnsi="Carlito" w:eastAsia="Carlito"/>
          <w:i w:val="0"/>
          <w:sz w:val="21"/>
        </w:rPr>
        <w:t>El envío por correo genera o adjunta el documento y muestra un mensaje de información. Los paneles de aviso deben aparecer por encima de los demás componentes y el texto no debe superponerse ni mostrarse emborronado.</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Destinatario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Asunto y cuerpo adecuados.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PDF generado y adjunto.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de progreso visible.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final verde legible y mostrado una sola vez.</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Error de envío, si existe, claramente informado.</w:t>
            </w:r>
          </w:p>
        </w:tc>
      </w:tr>
    </w:tbl>
    <w:p>
      <w:pPr>
        <w:spacing w:after="40"/>
      </w:pPr>
    </w:p>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Monitor y estructura principal conocidos. Los circuitos rectificativos deben seguir probándose con casos reales y de excepción.</w:t>
            </w:r>
          </w:p>
        </w:tc>
      </w:tr>
    </w:tbl>
    <w:p>
      <w:pPr>
        <w:spacing w:after="20"/>
      </w:pPr>
    </w:p>
    <w:p>
      <w:pPr>
        <w:pStyle w:val="Heading2"/>
        <w:keepNext/>
      </w:pPr>
      <w:r>
        <w:t>9.1 Tipos de documento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3969"/>
            <w:shd w:fill="1F4E78"/>
            <w:vAlign w:val="center"/>
          </w:tcPr>
          <w:p>
            <w:r>
              <w:rPr>
                <w:rFonts w:ascii="Carlito" w:hAnsi="Carlito" w:eastAsia="Carlito"/>
                <w:b/>
                <w:color w:val="FFFFFF"/>
                <w:sz w:val="18"/>
              </w:rPr>
              <w:t>Descripción</w:t>
            </w:r>
          </w:p>
        </w:tc>
        <w:tc>
          <w:tcPr>
            <w:tcW w:type="dxa" w:w="3118"/>
            <w:shd w:fill="1F4E78"/>
            <w:vAlign w:val="center"/>
          </w:tcPr>
          <w:p>
            <w:r>
              <w:rPr>
                <w:rFonts w:ascii="Carlito" w:hAnsi="Carlito" w:eastAsia="Carlito"/>
                <w:b/>
                <w:color w:val="FFFFFF"/>
                <w:sz w:val="18"/>
              </w:rPr>
              <w:t>Serie habitual</w:t>
            </w:r>
          </w:p>
        </w:tc>
      </w:tr>
      <w:tr>
        <w:trPr>
          <w:cantSplit/>
        </w:trPr>
        <w:tc>
          <w:tcPr>
            <w:tcW w:type="dxa" w:w="2268"/>
            <w:vAlign w:val="center"/>
          </w:tcPr>
          <w:p>
            <w:r>
              <w:rPr>
                <w:rFonts w:ascii="Carlito" w:hAnsi="Carlito" w:eastAsia="Carlito"/>
                <w:sz w:val="18"/>
              </w:rPr>
              <w:t>F1</w:t>
            </w:r>
          </w:p>
        </w:tc>
        <w:tc>
          <w:tcPr>
            <w:tcW w:type="dxa" w:w="3969"/>
            <w:vAlign w:val="center"/>
          </w:tcPr>
          <w:p>
            <w:r>
              <w:rPr>
                <w:rFonts w:ascii="Carlito" w:hAnsi="Carlito" w:eastAsia="Carlito"/>
                <w:sz w:val="18"/>
              </w:rPr>
              <w:t>Factura completa</w:t>
            </w:r>
          </w:p>
        </w:tc>
        <w:tc>
          <w:tcPr>
            <w:tcW w:type="dxa" w:w="3118"/>
            <w:vAlign w:val="center"/>
          </w:tcPr>
          <w:p>
            <w:r>
              <w:rPr>
                <w:rFonts w:ascii="Carlito" w:hAnsi="Carlito" w:eastAsia="Carlito"/>
                <w:sz w:val="18"/>
              </w:rPr>
              <w:t>Serie normal.</w:t>
            </w:r>
          </w:p>
        </w:tc>
      </w:tr>
      <w:tr>
        <w:trPr>
          <w:cantSplit/>
        </w:trPr>
        <w:tc>
          <w:tcPr>
            <w:tcW w:type="dxa" w:w="2268"/>
            <w:shd w:fill="F2F2F2"/>
            <w:vAlign w:val="center"/>
          </w:tcPr>
          <w:p>
            <w:r>
              <w:rPr>
                <w:rFonts w:ascii="Carlito" w:hAnsi="Carlito" w:eastAsia="Carlito"/>
                <w:sz w:val="18"/>
              </w:rPr>
              <w:t>F2</w:t>
            </w:r>
          </w:p>
        </w:tc>
        <w:tc>
          <w:tcPr>
            <w:tcW w:type="dxa" w:w="3969"/>
            <w:shd w:fill="F2F2F2"/>
            <w:vAlign w:val="center"/>
          </w:tcPr>
          <w:p>
            <w:r>
              <w:rPr>
                <w:rFonts w:ascii="Carlito" w:hAnsi="Carlito" w:eastAsia="Carlito"/>
                <w:sz w:val="18"/>
              </w:rPr>
              <w:t>Factura simplificada</w:t>
            </w:r>
          </w:p>
        </w:tc>
        <w:tc>
          <w:tcPr>
            <w:tcW w:type="dxa" w:w="3118"/>
            <w:shd w:fill="F2F2F2"/>
            <w:vAlign w:val="center"/>
          </w:tcPr>
          <w:p>
            <w:r>
              <w:rPr>
                <w:rFonts w:ascii="Carlito" w:hAnsi="Carlito" w:eastAsia="Carlito"/>
                <w:sz w:val="18"/>
              </w:rPr>
              <w:t>Serie con prefijo FS-.</w:t>
            </w:r>
          </w:p>
        </w:tc>
      </w:tr>
      <w:tr>
        <w:trPr>
          <w:cantSplit/>
        </w:trPr>
        <w:tc>
          <w:tcPr>
            <w:tcW w:type="dxa" w:w="2268"/>
            <w:vAlign w:val="center"/>
          </w:tcPr>
          <w:p>
            <w:r>
              <w:rPr>
                <w:rFonts w:ascii="Carlito" w:hAnsi="Carlito" w:eastAsia="Carlito"/>
                <w:sz w:val="18"/>
              </w:rPr>
              <w:t>Rectificativa normal</w:t>
            </w:r>
          </w:p>
        </w:tc>
        <w:tc>
          <w:tcPr>
            <w:tcW w:type="dxa" w:w="3969"/>
            <w:vAlign w:val="center"/>
          </w:tcPr>
          <w:p>
            <w:r>
              <w:rPr>
                <w:rFonts w:ascii="Carlito" w:hAnsi="Carlito" w:eastAsia="Carlito"/>
                <w:sz w:val="18"/>
              </w:rPr>
              <w:t>Corrige una factura completa</w:t>
            </w:r>
          </w:p>
        </w:tc>
        <w:tc>
          <w:tcPr>
            <w:tcW w:type="dxa" w:w="3118"/>
            <w:vAlign w:val="center"/>
          </w:tcPr>
          <w:p>
            <w:r>
              <w:rPr>
                <w:rFonts w:ascii="Carlito" w:hAnsi="Carlito" w:eastAsia="Carlito"/>
                <w:sz w:val="18"/>
              </w:rPr>
              <w:t>R26 u otra serie configurada.</w:t>
            </w:r>
          </w:p>
        </w:tc>
      </w:tr>
      <w:tr>
        <w:trPr>
          <w:cantSplit/>
        </w:trPr>
        <w:tc>
          <w:tcPr>
            <w:tcW w:type="dxa" w:w="2268"/>
            <w:shd w:fill="F2F2F2"/>
            <w:vAlign w:val="center"/>
          </w:tcPr>
          <w:p>
            <w:r>
              <w:rPr>
                <w:rFonts w:ascii="Carlito" w:hAnsi="Carlito" w:eastAsia="Carlito"/>
                <w:sz w:val="18"/>
              </w:rPr>
              <w:t>Rectificativa simplificada</w:t>
            </w:r>
          </w:p>
        </w:tc>
        <w:tc>
          <w:tcPr>
            <w:tcW w:type="dxa" w:w="3969"/>
            <w:shd w:fill="F2F2F2"/>
            <w:vAlign w:val="center"/>
          </w:tcPr>
          <w:p>
            <w:r>
              <w:rPr>
                <w:rFonts w:ascii="Carlito" w:hAnsi="Carlito" w:eastAsia="Carlito"/>
                <w:sz w:val="18"/>
              </w:rPr>
              <w:t>Corrige una simplificada</w:t>
            </w:r>
          </w:p>
        </w:tc>
        <w:tc>
          <w:tcPr>
            <w:tcW w:type="dxa" w:w="3118"/>
            <w:shd w:fill="F2F2F2"/>
            <w:vAlign w:val="center"/>
          </w:tcPr>
          <w:p>
            <w:r>
              <w:rPr>
                <w:rFonts w:ascii="Carlito" w:hAnsi="Carlito" w:eastAsia="Carlito"/>
                <w:sz w:val="18"/>
              </w:rPr>
              <w:t>FS-R26 u otra serie configurada.</w:t>
            </w:r>
          </w:p>
        </w:tc>
      </w:tr>
    </w:tbl>
    <w:p>
      <w:pPr>
        <w:spacing w:after="40"/>
      </w:pPr>
    </w:p>
    <w:p>
      <w:pPr>
        <w:pStyle w:val="Heading2"/>
        <w:keepNext/>
      </w:pPr>
      <w:r>
        <w:t>9.2 Cola VeriFactu</w:t>
      </w:r>
    </w:p>
    <w:p>
      <w:pPr>
        <w:pStyle w:val="BodyText"/>
        <w:keepLines w:val="0"/>
        <w:spacing w:after="100" w:line="259" w:lineRule="auto"/>
        <w:ind w:left="0"/>
      </w:pPr>
      <w:r>
        <w:rPr>
          <w:rFonts w:ascii="Carlito" w:hAnsi="Carlito" w:eastAsia="Carlito"/>
          <w:i w:val="0"/>
          <w:sz w:val="21"/>
        </w:rPr>
        <w:t>La cola conserva los datos necesarios para el envío y seguimiento: serie, número, fecha, hora, total con IVA, estado, JSON, hash, hash anterior, fecha ISO y tipo de factura.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Campo</w:t>
            </w:r>
          </w:p>
        </w:tc>
        <w:tc>
          <w:tcPr>
            <w:tcW w:type="dxa" w:w="7087"/>
            <w:shd w:fill="1F4E78"/>
            <w:vAlign w:val="center"/>
          </w:tcPr>
          <w:p>
            <w:r>
              <w:rPr>
                <w:rFonts w:ascii="Carlito" w:hAnsi="Carlito" w:eastAsia="Carlito"/>
                <w:b/>
                <w:color w:val="FFFFFF"/>
                <w:sz w:val="18"/>
              </w:rPr>
              <w:t>Función</w:t>
            </w:r>
          </w:p>
        </w:tc>
      </w:tr>
      <w:tr>
        <w:trPr>
          <w:cantSplit/>
        </w:trPr>
        <w:tc>
          <w:tcPr>
            <w:tcW w:type="dxa" w:w="2268"/>
            <w:vAlign w:val="center"/>
          </w:tcPr>
          <w:p>
            <w:r>
              <w:rPr>
                <w:rFonts w:ascii="Carlito" w:hAnsi="Carlito" w:eastAsia="Carlito"/>
                <w:sz w:val="18"/>
              </w:rPr>
              <w:t>estado</w:t>
            </w:r>
          </w:p>
        </w:tc>
        <w:tc>
          <w:tcPr>
            <w:tcW w:type="dxa" w:w="7087"/>
            <w:vAlign w:val="center"/>
          </w:tcPr>
          <w:p>
            <w:r>
              <w:rPr>
                <w:rFonts w:ascii="Carlito" w:hAnsi="Carlito" w:eastAsia="Carlito"/>
                <w:sz w:val="18"/>
              </w:rPr>
              <w:t>Situación del registro: pendiente, enviado, aceptado, error, etc.</w:t>
            </w:r>
          </w:p>
        </w:tc>
      </w:tr>
      <w:tr>
        <w:trPr>
          <w:cantSplit/>
        </w:trPr>
        <w:tc>
          <w:tcPr>
            <w:tcW w:type="dxa" w:w="2268"/>
            <w:shd w:fill="F2F2F2"/>
            <w:vAlign w:val="center"/>
          </w:tcPr>
          <w:p>
            <w:r>
              <w:rPr>
                <w:rFonts w:ascii="Carlito" w:hAnsi="Carlito" w:eastAsia="Carlito"/>
                <w:sz w:val="18"/>
              </w:rPr>
              <w:t>payload_json</w:t>
            </w:r>
          </w:p>
        </w:tc>
        <w:tc>
          <w:tcPr>
            <w:tcW w:type="dxa" w:w="7087"/>
            <w:shd w:fill="F2F2F2"/>
            <w:vAlign w:val="center"/>
          </w:tcPr>
          <w:p>
            <w:r>
              <w:rPr>
                <w:rFonts w:ascii="Carlito" w:hAnsi="Carlito" w:eastAsia="Carlito"/>
                <w:sz w:val="18"/>
              </w:rPr>
              <w:t>Contenido preparado para el envío.</w:t>
            </w:r>
          </w:p>
        </w:tc>
      </w:tr>
      <w:tr>
        <w:trPr>
          <w:cantSplit/>
        </w:trPr>
        <w:tc>
          <w:tcPr>
            <w:tcW w:type="dxa" w:w="2268"/>
            <w:vAlign w:val="center"/>
          </w:tcPr>
          <w:p>
            <w:r>
              <w:rPr>
                <w:rFonts w:ascii="Carlito" w:hAnsi="Carlito" w:eastAsia="Carlito"/>
                <w:sz w:val="18"/>
              </w:rPr>
              <w:t>hash</w:t>
            </w:r>
          </w:p>
        </w:tc>
        <w:tc>
          <w:tcPr>
            <w:tcW w:type="dxa" w:w="7087"/>
            <w:vAlign w:val="center"/>
          </w:tcPr>
          <w:p>
            <w:r>
              <w:rPr>
                <w:rFonts w:ascii="Carlito" w:hAnsi="Carlito" w:eastAsia="Carlito"/>
                <w:sz w:val="18"/>
              </w:rPr>
              <w:t>Huella SHA-256 del registro canónico y fecha.</w:t>
            </w:r>
          </w:p>
        </w:tc>
      </w:tr>
      <w:tr>
        <w:trPr>
          <w:cantSplit/>
        </w:trPr>
        <w:tc>
          <w:tcPr>
            <w:tcW w:type="dxa" w:w="2268"/>
            <w:shd w:fill="F2F2F2"/>
            <w:vAlign w:val="center"/>
          </w:tcPr>
          <w:p>
            <w:r>
              <w:rPr>
                <w:rFonts w:ascii="Carlito" w:hAnsi="Carlito" w:eastAsia="Carlito"/>
                <w:sz w:val="18"/>
              </w:rPr>
              <w:t>hash_prev</w:t>
            </w:r>
          </w:p>
        </w:tc>
        <w:tc>
          <w:tcPr>
            <w:tcW w:type="dxa" w:w="7087"/>
            <w:shd w:fill="F2F2F2"/>
            <w:vAlign w:val="center"/>
          </w:tcPr>
          <w:p>
            <w:r>
              <w:rPr>
                <w:rFonts w:ascii="Carlito" w:hAnsi="Carlito" w:eastAsia="Carlito"/>
                <w:sz w:val="18"/>
              </w:rPr>
              <w:t>Hash del registro anterior de la serie.</w:t>
            </w:r>
          </w:p>
        </w:tc>
      </w:tr>
      <w:tr>
        <w:trPr>
          <w:cantSplit/>
        </w:trPr>
        <w:tc>
          <w:tcPr>
            <w:tcW w:type="dxa" w:w="2268"/>
            <w:vAlign w:val="center"/>
          </w:tcPr>
          <w:p>
            <w:r>
              <w:rPr>
                <w:rFonts w:ascii="Carlito" w:hAnsi="Carlito" w:eastAsia="Carlito"/>
                <w:sz w:val="18"/>
              </w:rPr>
              <w:t>fecha_isoz</w:t>
            </w:r>
          </w:p>
        </w:tc>
        <w:tc>
          <w:tcPr>
            <w:tcW w:type="dxa" w:w="7087"/>
            <w:vAlign w:val="center"/>
          </w:tcPr>
          <w:p>
            <w:r>
              <w:rPr>
                <w:rFonts w:ascii="Carlito" w:hAnsi="Carlito" w:eastAsia="Carlito"/>
                <w:sz w:val="18"/>
              </w:rPr>
              <w:t>Marca temporal normalizada.</w:t>
            </w:r>
          </w:p>
        </w:tc>
      </w:tr>
      <w:tr>
        <w:trPr>
          <w:cantSplit/>
        </w:trPr>
        <w:tc>
          <w:tcPr>
            <w:tcW w:type="dxa" w:w="2268"/>
            <w:shd w:fill="F2F2F2"/>
            <w:vAlign w:val="center"/>
          </w:tcPr>
          <w:p>
            <w:r>
              <w:rPr>
                <w:rFonts w:ascii="Carlito" w:hAnsi="Carlito" w:eastAsia="Carlito"/>
                <w:sz w:val="18"/>
              </w:rPr>
              <w:t>tipo_factura</w:t>
            </w:r>
          </w:p>
        </w:tc>
        <w:tc>
          <w:tcPr>
            <w:tcW w:type="dxa" w:w="7087"/>
            <w:shd w:fill="F2F2F2"/>
            <w:vAlign w:val="center"/>
          </w:tcPr>
          <w:p>
            <w:r>
              <w:rPr>
                <w:rFonts w:ascii="Carlito" w:hAnsi="Carlito" w:eastAsia="Carlito"/>
                <w:sz w:val="18"/>
              </w:rPr>
              <w:t>F1 o F2.</w:t>
            </w:r>
          </w:p>
        </w:tc>
      </w:tr>
    </w:tbl>
    <w:p>
      <w:pPr>
        <w:spacing w:after="40"/>
      </w:pPr>
    </w:p>
    <w:p>
      <w:pPr>
        <w:pStyle w:val="Heading2"/>
        <w:keepNext/>
      </w:pPr>
      <w:r>
        <w:t>9.3 Monitor</w:t>
      </w:r>
    </w:p>
    <w:p>
      <w:pPr>
        <w:pStyle w:val="BodyText"/>
        <w:keepLines w:val="0"/>
        <w:spacing w:after="100" w:line="259" w:lineRule="auto"/>
        <w:ind w:left="0"/>
      </w:pPr>
      <w:r>
        <w:rPr>
          <w:rFonts w:ascii="Carlito" w:hAnsi="Carlito" w:eastAsia="Carlito"/>
          <w:i w:val="0"/>
          <w:sz w:val="21"/>
        </w:rPr>
        <w:t>El monitor muestra fecha, hora, serie, número, tipo, estado, resultado, intentos, hash, hash anterior y token. Debe utilizarse para distinguir un documento generado correctamente de uno realmente aceptado por Hacienda.</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INTERPRETACIÓN: </w:t>
            </w:r>
            <w:r>
              <w:rPr>
                <w:rFonts w:ascii="Carlito" w:hAnsi="Carlito" w:eastAsia="Carlito"/>
                <w:color w:val="000000"/>
                <w:sz w:val="19"/>
              </w:rPr>
              <w:t>Que un documento exista o se haya enviado no significa necesariamente que figure como Aceptado. Revisar el estado y la respuesta devuelta.</w:t>
            </w:r>
          </w:p>
        </w:tc>
      </w:tr>
    </w:tbl>
    <w:p>
      <w:pPr>
        <w:spacing w:after="20"/>
      </w:pPr>
    </w:p>
    <w:p>
      <w:pPr>
        <w:pStyle w:val="Heading2"/>
        <w:keepNext/>
      </w:pPr>
      <w:r>
        <w:t>9.4 Errores conocidos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835"/>
            <w:shd w:fill="1F4E78"/>
            <w:vAlign w:val="center"/>
          </w:tcPr>
          <w:p>
            <w:r>
              <w:rPr>
                <w:rFonts w:ascii="Carlito" w:hAnsi="Carlito" w:eastAsia="Carlito"/>
                <w:b/>
                <w:color w:val="FFFFFF"/>
                <w:sz w:val="18"/>
              </w:rPr>
              <w:t>Código / síntoma</w:t>
            </w:r>
          </w:p>
        </w:tc>
        <w:tc>
          <w:tcPr>
            <w:tcW w:type="dxa" w:w="6520"/>
            <w:shd w:fill="1F4E78"/>
            <w:vAlign w:val="center"/>
          </w:tcPr>
          <w:p>
            <w:r>
              <w:rPr>
                <w:rFonts w:ascii="Carlito" w:hAnsi="Carlito" w:eastAsia="Carlito"/>
                <w:b/>
                <w:color w:val="FFFFFF"/>
                <w:sz w:val="18"/>
              </w:rPr>
              <w:t>Interpretación orientativa</w:t>
            </w:r>
          </w:p>
        </w:tc>
      </w:tr>
      <w:tr>
        <w:trPr>
          <w:cantSplit/>
        </w:trPr>
        <w:tc>
          <w:tcPr>
            <w:tcW w:type="dxa" w:w="2835"/>
            <w:vAlign w:val="center"/>
          </w:tcPr>
          <w:p>
            <w:r>
              <w:rPr>
                <w:rFonts w:ascii="Carlito" w:hAnsi="Carlito" w:eastAsia="Carlito"/>
                <w:sz w:val="18"/>
              </w:rPr>
              <w:t>4102</w:t>
            </w:r>
          </w:p>
        </w:tc>
        <w:tc>
          <w:tcPr>
            <w:tcW w:type="dxa" w:w="6520"/>
            <w:vAlign w:val="center"/>
          </w:tcPr>
          <w:p>
            <w:r>
              <w:rPr>
                <w:rFonts w:ascii="Carlito" w:hAnsi="Carlito" w:eastAsia="Carlito"/>
                <w:sz w:val="18"/>
              </w:rPr>
              <w:t>Problema relacionado con DescripcionOperacion.</w:t>
            </w:r>
          </w:p>
        </w:tc>
      </w:tr>
      <w:tr>
        <w:trPr>
          <w:cantSplit/>
        </w:trPr>
        <w:tc>
          <w:tcPr>
            <w:tcW w:type="dxa" w:w="2835"/>
            <w:shd w:fill="F2F2F2"/>
            <w:vAlign w:val="center"/>
          </w:tcPr>
          <w:p>
            <w:r>
              <w:rPr>
                <w:rFonts w:ascii="Carlito" w:hAnsi="Carlito" w:eastAsia="Carlito"/>
                <w:sz w:val="18"/>
              </w:rPr>
              <w:t>1189</w:t>
            </w:r>
          </w:p>
        </w:tc>
        <w:tc>
          <w:tcPr>
            <w:tcW w:type="dxa" w:w="6520"/>
            <w:shd w:fill="F2F2F2"/>
            <w:vAlign w:val="center"/>
          </w:tcPr>
          <w:p>
            <w:r>
              <w:rPr>
                <w:rFonts w:ascii="Carlito" w:hAnsi="Carlito" w:eastAsia="Carlito"/>
                <w:sz w:val="18"/>
              </w:rPr>
              <w:t>Datos de destinatarios incompletos o no permitidos.</w:t>
            </w:r>
          </w:p>
        </w:tc>
      </w:tr>
      <w:tr>
        <w:trPr>
          <w:cantSplit/>
        </w:trPr>
        <w:tc>
          <w:tcPr>
            <w:tcW w:type="dxa" w:w="2835"/>
            <w:vAlign w:val="center"/>
          </w:tcPr>
          <w:p>
            <w:r>
              <w:rPr>
                <w:rFonts w:ascii="Carlito" w:hAnsi="Carlito" w:eastAsia="Carlito"/>
                <w:sz w:val="18"/>
              </w:rPr>
              <w:t>1054</w:t>
            </w:r>
          </w:p>
        </w:tc>
        <w:tc>
          <w:tcPr>
            <w:tcW w:type="dxa" w:w="6520"/>
            <w:vAlign w:val="center"/>
          </w:tcPr>
          <w:p>
            <w:r>
              <w:rPr>
                <w:rFonts w:ascii="Carlito" w:hAnsi="Carlito" w:eastAsia="Carlito"/>
                <w:sz w:val="18"/>
              </w:rPr>
              <w:t>Referencia incorrecta a payload en lugar de payload_json.</w:t>
            </w:r>
          </w:p>
        </w:tc>
      </w:tr>
      <w:tr>
        <w:trPr>
          <w:cantSplit/>
        </w:trPr>
        <w:tc>
          <w:tcPr>
            <w:tcW w:type="dxa" w:w="2835"/>
            <w:shd w:fill="F2F2F2"/>
            <w:vAlign w:val="center"/>
          </w:tcPr>
          <w:p>
            <w:r>
              <w:rPr>
                <w:rFonts w:ascii="Carlito" w:hAnsi="Carlito" w:eastAsia="Carlito"/>
                <w:sz w:val="18"/>
              </w:rPr>
              <w:t>2004</w:t>
            </w:r>
          </w:p>
        </w:tc>
        <w:tc>
          <w:tcPr>
            <w:tcW w:type="dxa" w:w="6520"/>
            <w:shd w:fill="F2F2F2"/>
            <w:vAlign w:val="center"/>
          </w:tcPr>
          <w:p>
            <w:r>
              <w:rPr>
                <w:rFonts w:ascii="Carlito" w:hAnsi="Carlito" w:eastAsia="Carlito"/>
                <w:sz w:val="18"/>
              </w:rPr>
              <w:t>Problema de timestamp o formato temporal.</w:t>
            </w:r>
          </w:p>
        </w:tc>
      </w:tr>
      <w:tr>
        <w:trPr>
          <w:cantSplit/>
        </w:trPr>
        <w:tc>
          <w:tcPr>
            <w:tcW w:type="dxa" w:w="2835"/>
            <w:vAlign w:val="center"/>
          </w:tcPr>
          <w:p>
            <w:r>
              <w:rPr>
                <w:rFonts w:ascii="Carlito" w:hAnsi="Carlito" w:eastAsia="Carlito"/>
                <w:sz w:val="18"/>
              </w:rPr>
              <w:t>Aceptado con errores en F2</w:t>
            </w:r>
          </w:p>
        </w:tc>
        <w:tc>
          <w:tcPr>
            <w:tcW w:type="dxa" w:w="6520"/>
            <w:vAlign w:val="center"/>
          </w:tcPr>
          <w:p>
            <w:r>
              <w:rPr>
                <w:rFonts w:ascii="Carlito" w:hAnsi="Carlito" w:eastAsia="Carlito"/>
                <w:sz w:val="18"/>
              </w:rPr>
              <w:t>Revisar desglose de IVA e ImporteTotal.</w:t>
            </w:r>
          </w:p>
        </w:tc>
      </w:tr>
    </w:tbl>
    <w:p>
      <w:pPr>
        <w:spacing w:after="40"/>
      </w:pPr>
    </w:p>
    <w:p>
      <w:pPr>
        <w:pStyle w:val="Heading2"/>
        <w:keepNext/>
      </w:pPr>
      <w:r>
        <w:t>9.5 Rectificativas</w:t>
      </w:r>
    </w:p>
    <w:p>
      <w:pPr>
        <w:pStyle w:val="BodyText"/>
        <w:keepLines w:val="0"/>
        <w:spacing w:after="100" w:line="259" w:lineRule="auto"/>
        <w:ind w:left="0"/>
      </w:pPr>
      <w:r>
        <w:rPr>
          <w:rFonts w:ascii="Carlito" w:hAnsi="Carlito" w:eastAsia="Carlito"/>
          <w:i w:val="0"/>
          <w:sz w:val="21"/>
        </w:rPr>
        <w:t>Cuando existen líneas negativas, el sistema puede solicitar el tipo de origen, serie, número y motivo. La relación con el documento original debe conservarse en históricos y JSON.</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Tipo de origen correcto: simplificado o normal.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del documento original.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coincidente cuando el circuito lo exige.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Motivo de rectificación informado.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Importes y signos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creado en tablas rectificativas e histórico.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generada sin duplicidad.</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CASOS SENSIBLES: </w:t>
            </w:r>
            <w:r>
              <w:rPr>
                <w:rFonts w:ascii="Carlito" w:hAnsi="Carlito" w:eastAsia="Carlito"/>
                <w:color w:val="000000"/>
                <w:sz w:val="19"/>
              </w:rPr>
              <w:t>Ventas mixtas, rectificativas manuales sin histórico y documentos aparcados requieren comprobación especial.</w:t>
            </w:r>
          </w:p>
        </w:tc>
      </w:tr>
    </w:tbl>
    <w:p>
      <w:pPr>
        <w:spacing w:after="20"/>
      </w:pPr>
    </w:p>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rPr>
          <w:cantSplit/>
        </w:trP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rPr>
          <w:cantSplit/>
        </w:trP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rPr>
          <w:cantSplit/>
        </w:trP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rPr>
          <w:cantSplit/>
        </w:trP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v0.4 mantiene la estructura general, corrige Menú y Ventas e incorpora Configuración ilustrada. Las próximas revisiones ilustrarán Clientes, Artículos, Caja, Dashboard, facturación y VeriFactu.</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v0.4 - Configuración ilustrada</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pPr>
            <w:pStyle w:val="Footer"/>
          </w:pPr>
          <w:r>
            <w:t>Edición v0.4 - Configuración ilustrada - 25/07/2026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configuración de FacturLinEx v0.4</dc:title>
  <dc:subject>Edición ilustrada de Configuración general</dc:subject>
  <dc:creator>FacturLinEx</dc:creator>
  <cp:keywords>FacturLinEx, manual, configuración, ventas, MariaDB, VeriFactu</cp:keywords>
  <dc:description>Documento vivo. Edición v0.4.</dc:description>
  <cp:lastModifiedBy/>
  <cp:revision>1</cp:revision>
  <dcterms:created xsi:type="dcterms:W3CDTF">2013-12-23T23:15:00Z</dcterms:created>
  <dcterms:modified xsi:type="dcterms:W3CDTF">2013-12-23T23:15:00Z</dcterms:modified>
  <cp:category/>
</cp:coreProperties>
</file>