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v0.5</w:t>
      </w:r>
    </w:p>
    <w:p>
      <w:pPr>
        <w:jc w:val="center"/>
      </w:pPr>
      <w:r>
        <w:t>Edición ilustrada - Clientes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v0.5 amplía e ilustra el capítulo de Clientes con capturas reales anotadas: visión general, acceso por código, condiciones comerciales, facturación, rutas, sistema de puntos y cliente a precio de coste.</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Capítulo funcional. La modernización visual de Artículos se considera finalizada de momento, pendiente de capturas definitivas.</w:t>
            </w:r>
          </w:p>
        </w:tc>
      </w:tr>
    </w:tbl>
    <w:p>
      <w:pPr>
        <w:spacing w:after="20"/>
      </w:pPr>
    </w:p>
    <w:p>
      <w:pPr>
        <w:pStyle w:val="Heading2"/>
        <w:keepNext/>
      </w:pPr>
      <w:r>
        <w:t>4.1 Ficha de artículos</w:t>
      </w:r>
    </w:p>
    <w:p>
      <w:pPr>
        <w:pStyle w:val="BodyText"/>
        <w:keepLines w:val="0"/>
        <w:spacing w:after="100" w:line="259" w:lineRule="auto"/>
        <w:ind w:left="0"/>
      </w:pPr>
      <w:r>
        <w:rPr>
          <w:rFonts w:ascii="Carlito" w:hAnsi="Carlito" w:eastAsia="Carlito"/>
          <w:i w:val="0"/>
          <w:sz w:val="21"/>
        </w:rPr>
        <w:t>El formulario de Artículos centraliza descripción, códigos, precios, costes, impuestos, familia, proveedor, EAN, existencias y opciones comerciales. Al abrirlo, el foco debe situarse en el campo Código.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928"/>
            <w:shd w:fill="1F4E78"/>
            <w:vAlign w:val="center"/>
          </w:tcPr>
          <w:p>
            <w:r>
              <w:rPr>
                <w:rFonts w:ascii="Carlito" w:hAnsi="Carlito" w:eastAsia="Carlito"/>
                <w:b/>
                <w:color w:val="FFFFFF"/>
                <w:sz w:val="18"/>
              </w:rPr>
              <w:t>Dato</w:t>
            </w:r>
          </w:p>
        </w:tc>
        <w:tc>
          <w:tcPr>
            <w:tcW w:type="dxa" w:w="1871"/>
            <w:shd w:fill="1F4E78"/>
            <w:vAlign w:val="center"/>
          </w:tcPr>
          <w:p>
            <w:r>
              <w:rPr>
                <w:rFonts w:ascii="Carlito" w:hAnsi="Carlito" w:eastAsia="Carlito"/>
                <w:b/>
                <w:color w:val="FFFFFF"/>
                <w:sz w:val="18"/>
              </w:rPr>
              <w:t>Referencia técnica</w:t>
            </w:r>
          </w:p>
        </w:tc>
        <w:tc>
          <w:tcPr>
            <w:tcW w:type="dxa" w:w="5216"/>
            <w:shd w:fill="1F4E78"/>
            <w:vAlign w:val="center"/>
          </w:tcPr>
          <w:p>
            <w:r>
              <w:rPr>
                <w:rFonts w:ascii="Carlito" w:hAnsi="Carlito" w:eastAsia="Carlito"/>
                <w:b/>
                <w:color w:val="FFFFFF"/>
                <w:sz w:val="18"/>
              </w:rPr>
              <w:t>Uso</w:t>
            </w:r>
          </w:p>
        </w:tc>
      </w:tr>
      <w:tr>
        <w:trPr>
          <w:cantSplit/>
        </w:trPr>
        <w:tc>
          <w:tcPr>
            <w:tcW w:type="dxa" w:w="1928"/>
            <w:vAlign w:val="center"/>
          </w:tcPr>
          <w:p>
            <w:r>
              <w:rPr>
                <w:rFonts w:ascii="Carlito" w:hAnsi="Carlito" w:eastAsia="Carlito"/>
                <w:sz w:val="18"/>
              </w:rPr>
              <w:t>Código</w:t>
            </w:r>
          </w:p>
        </w:tc>
        <w:tc>
          <w:tcPr>
            <w:tcW w:type="dxa" w:w="1871"/>
            <w:vAlign w:val="center"/>
          </w:tcPr>
          <w:p>
            <w:r>
              <w:rPr>
                <w:rFonts w:ascii="Carlito" w:hAnsi="Carlito" w:eastAsia="Carlito"/>
                <w:sz w:val="18"/>
              </w:rPr>
              <w:t>A0</w:t>
            </w:r>
          </w:p>
        </w:tc>
        <w:tc>
          <w:tcPr>
            <w:tcW w:type="dxa" w:w="5216"/>
            <w:vAlign w:val="center"/>
          </w:tcPr>
          <w:p>
            <w:r>
              <w:rPr>
                <w:rFonts w:ascii="Carlito" w:hAnsi="Carlito" w:eastAsia="Carlito"/>
                <w:sz w:val="18"/>
              </w:rPr>
              <w:t>Identificación principal del artículo.</w:t>
            </w:r>
          </w:p>
        </w:tc>
      </w:tr>
      <w:tr>
        <w:trPr>
          <w:cantSplit/>
        </w:trPr>
        <w:tc>
          <w:tcPr>
            <w:tcW w:type="dxa" w:w="1928"/>
            <w:shd w:fill="F2F2F2"/>
            <w:vAlign w:val="center"/>
          </w:tcPr>
          <w:p>
            <w:r>
              <w:rPr>
                <w:rFonts w:ascii="Carlito" w:hAnsi="Carlito" w:eastAsia="Carlito"/>
                <w:sz w:val="18"/>
              </w:rPr>
              <w:t>Descripción</w:t>
            </w:r>
          </w:p>
        </w:tc>
        <w:tc>
          <w:tcPr>
            <w:tcW w:type="dxa" w:w="1871"/>
            <w:shd w:fill="F2F2F2"/>
            <w:vAlign w:val="center"/>
          </w:tcPr>
          <w:p>
            <w:r>
              <w:rPr>
                <w:rFonts w:ascii="Carlito" w:hAnsi="Carlito" w:eastAsia="Carlito"/>
                <w:sz w:val="18"/>
              </w:rPr>
              <w:t>A1</w:t>
            </w:r>
          </w:p>
        </w:tc>
        <w:tc>
          <w:tcPr>
            <w:tcW w:type="dxa" w:w="5216"/>
            <w:shd w:fill="F2F2F2"/>
            <w:vAlign w:val="center"/>
          </w:tcPr>
          <w:p>
            <w:r>
              <w:rPr>
                <w:rFonts w:ascii="Carlito" w:hAnsi="Carlito" w:eastAsia="Carlito"/>
                <w:sz w:val="18"/>
              </w:rPr>
              <w:t>Texto comercial del artículo.</w:t>
            </w:r>
          </w:p>
        </w:tc>
      </w:tr>
      <w:tr>
        <w:trPr>
          <w:cantSplit/>
        </w:trPr>
        <w:tc>
          <w:tcPr>
            <w:tcW w:type="dxa" w:w="1928"/>
            <w:vAlign w:val="center"/>
          </w:tcPr>
          <w:p>
            <w:r>
              <w:rPr>
                <w:rFonts w:ascii="Carlito" w:hAnsi="Carlito" w:eastAsia="Carlito"/>
                <w:sz w:val="18"/>
              </w:rPr>
              <w:t>PVP con IVA</w:t>
            </w:r>
          </w:p>
        </w:tc>
        <w:tc>
          <w:tcPr>
            <w:tcW w:type="dxa" w:w="1871"/>
            <w:vAlign w:val="center"/>
          </w:tcPr>
          <w:p>
            <w:r>
              <w:rPr>
                <w:rFonts w:ascii="Carlito" w:hAnsi="Carlito" w:eastAsia="Carlito"/>
                <w:sz w:val="18"/>
              </w:rPr>
              <w:t>A2</w:t>
            </w:r>
          </w:p>
        </w:tc>
        <w:tc>
          <w:tcPr>
            <w:tcW w:type="dxa" w:w="5216"/>
            <w:vAlign w:val="center"/>
          </w:tcPr>
          <w:p>
            <w:r>
              <w:rPr>
                <w:rFonts w:ascii="Carlito" w:hAnsi="Carlito" w:eastAsia="Carlito"/>
                <w:sz w:val="18"/>
              </w:rPr>
              <w:t>Precio de venta final con impuestos.</w:t>
            </w:r>
          </w:p>
        </w:tc>
      </w:tr>
      <w:tr>
        <w:trPr>
          <w:cantSplit/>
        </w:trPr>
        <w:tc>
          <w:tcPr>
            <w:tcW w:type="dxa" w:w="1928"/>
            <w:shd w:fill="F2F2F2"/>
            <w:vAlign w:val="center"/>
          </w:tcPr>
          <w:p>
            <w:r>
              <w:rPr>
                <w:rFonts w:ascii="Carlito" w:hAnsi="Carlito" w:eastAsia="Carlito"/>
                <w:sz w:val="18"/>
              </w:rPr>
              <w:t>PVP sin IVA</w:t>
            </w:r>
          </w:p>
        </w:tc>
        <w:tc>
          <w:tcPr>
            <w:tcW w:type="dxa" w:w="1871"/>
            <w:shd w:fill="F2F2F2"/>
            <w:vAlign w:val="center"/>
          </w:tcPr>
          <w:p>
            <w:r>
              <w:rPr>
                <w:rFonts w:ascii="Carlito" w:hAnsi="Carlito" w:eastAsia="Carlito"/>
                <w:sz w:val="18"/>
              </w:rPr>
              <w:t>A21</w:t>
            </w:r>
          </w:p>
        </w:tc>
        <w:tc>
          <w:tcPr>
            <w:tcW w:type="dxa" w:w="5216"/>
            <w:shd w:fill="F2F2F2"/>
            <w:vAlign w:val="center"/>
          </w:tcPr>
          <w:p>
            <w:r>
              <w:rPr>
                <w:rFonts w:ascii="Carlito" w:hAnsi="Carlito" w:eastAsia="Carlito"/>
                <w:sz w:val="18"/>
              </w:rPr>
              <w:t>Precio de venta antes de impuestos.</w:t>
            </w:r>
          </w:p>
        </w:tc>
      </w:tr>
      <w:tr>
        <w:trPr>
          <w:cantSplit/>
        </w:trPr>
        <w:tc>
          <w:tcPr>
            <w:tcW w:type="dxa" w:w="1928"/>
            <w:vAlign w:val="center"/>
          </w:tcPr>
          <w:p>
            <w:r>
              <w:rPr>
                <w:rFonts w:ascii="Carlito" w:hAnsi="Carlito" w:eastAsia="Carlito"/>
                <w:sz w:val="18"/>
              </w:rPr>
              <w:t>Precio de coste</w:t>
            </w:r>
          </w:p>
        </w:tc>
        <w:tc>
          <w:tcPr>
            <w:tcW w:type="dxa" w:w="1871"/>
            <w:vAlign w:val="center"/>
          </w:tcPr>
          <w:p>
            <w:r>
              <w:rPr>
                <w:rFonts w:ascii="Carlito" w:hAnsi="Carlito" w:eastAsia="Carlito"/>
                <w:sz w:val="18"/>
              </w:rPr>
              <w:t>A24</w:t>
            </w:r>
          </w:p>
        </w:tc>
        <w:tc>
          <w:tcPr>
            <w:tcW w:type="dxa" w:w="5216"/>
            <w:vAlign w:val="center"/>
          </w:tcPr>
          <w:p>
            <w:r>
              <w:rPr>
                <w:rFonts w:ascii="Carlito" w:hAnsi="Carlito" w:eastAsia="Carlito"/>
                <w:sz w:val="18"/>
              </w:rPr>
              <w:t>Coste utilizado en márgenes y procesos internos.</w:t>
            </w:r>
          </w:p>
        </w:tc>
      </w:tr>
      <w:tr>
        <w:trPr>
          <w:cantSplit/>
        </w:trPr>
        <w:tc>
          <w:tcPr>
            <w:tcW w:type="dxa" w:w="1928"/>
            <w:shd w:fill="F2F2F2"/>
            <w:vAlign w:val="center"/>
          </w:tcPr>
          <w:p>
            <w:r>
              <w:rPr>
                <w:rFonts w:ascii="Carlito" w:hAnsi="Carlito" w:eastAsia="Carlito"/>
                <w:sz w:val="18"/>
              </w:rPr>
              <w:t>Familia</w:t>
            </w:r>
          </w:p>
        </w:tc>
        <w:tc>
          <w:tcPr>
            <w:tcW w:type="dxa" w:w="1871"/>
            <w:shd w:fill="F2F2F2"/>
            <w:vAlign w:val="center"/>
          </w:tcPr>
          <w:p>
            <w:r>
              <w:rPr>
                <w:rFonts w:ascii="Carlito" w:hAnsi="Carlito" w:eastAsia="Carlito"/>
                <w:sz w:val="18"/>
              </w:rPr>
              <w:t>A14</w:t>
            </w:r>
          </w:p>
        </w:tc>
        <w:tc>
          <w:tcPr>
            <w:tcW w:type="dxa" w:w="5216"/>
            <w:shd w:fill="F2F2F2"/>
            <w:vAlign w:val="center"/>
          </w:tcPr>
          <w:p>
            <w:r>
              <w:rPr>
                <w:rFonts w:ascii="Carlito" w:hAnsi="Carlito" w:eastAsia="Carlito"/>
                <w:sz w:val="18"/>
              </w:rPr>
              <w:t>Clasificación para filtros, estadísticas y teclado.</w:t>
            </w:r>
          </w:p>
        </w:tc>
      </w:tr>
      <w:tr>
        <w:trPr>
          <w:cantSplit/>
        </w:trPr>
        <w:tc>
          <w:tcPr>
            <w:tcW w:type="dxa" w:w="1928"/>
            <w:vAlign w:val="center"/>
          </w:tcPr>
          <w:p>
            <w:r>
              <w:rPr>
                <w:rFonts w:ascii="Carlito" w:hAnsi="Carlito" w:eastAsia="Carlito"/>
                <w:sz w:val="18"/>
              </w:rPr>
              <w:t>Proveedor</w:t>
            </w:r>
          </w:p>
        </w:tc>
        <w:tc>
          <w:tcPr>
            <w:tcW w:type="dxa" w:w="1871"/>
            <w:vAlign w:val="center"/>
          </w:tcPr>
          <w:p>
            <w:r>
              <w:rPr>
                <w:rFonts w:ascii="Carlito" w:hAnsi="Carlito" w:eastAsia="Carlito"/>
                <w:sz w:val="18"/>
              </w:rPr>
              <w:t>A32</w:t>
            </w:r>
          </w:p>
        </w:tc>
        <w:tc>
          <w:tcPr>
            <w:tcW w:type="dxa" w:w="5216"/>
            <w:vAlign w:val="center"/>
          </w:tcPr>
          <w:p>
            <w:r>
              <w:rPr>
                <w:rFonts w:ascii="Carlito" w:hAnsi="Carlito" w:eastAsia="Carlito"/>
                <w:sz w:val="18"/>
              </w:rPr>
              <w:t>Proveedor principal o de referencia.</w:t>
            </w:r>
          </w:p>
        </w:tc>
      </w:tr>
    </w:tbl>
    <w:p>
      <w:pPr>
        <w:spacing w:after="40"/>
      </w:pPr>
    </w:p>
    <w:p>
      <w:pPr>
        <w:pStyle w:val="Heading2"/>
        <w:keepNext/>
      </w:pPr>
      <w:r>
        <w:t>4.2 Distribución de costes y tarifas</w:t>
      </w:r>
    </w:p>
    <w:p>
      <w:pPr>
        <w:pStyle w:val="BodyText"/>
        <w:keepLines w:val="0"/>
        <w:spacing w:after="100" w:line="259" w:lineRule="auto"/>
        <w:ind w:left="0"/>
      </w:pPr>
      <w:r>
        <w:rPr>
          <w:rFonts w:ascii="Carlito" w:hAnsi="Carlito" w:eastAsia="Carlito"/>
          <w:i w:val="0"/>
          <w:sz w:val="21"/>
        </w:rPr>
        <w:t>El campo Precio de coste debe aparecer en la pestaña Costes y Tarifas, dentro del bloque Datos de compras, después de % Descuento 2. Los bloques Datos de compras y Datos de ventas deben disponer de anchura suficiente para trabajar sin amontonamientos.</w:t>
      </w:r>
    </w:p>
    <w:p>
      <w:pPr>
        <w:pStyle w:val="ListBullet"/>
        <w:spacing w:after="40" w:line="240" w:lineRule="auto"/>
      </w:pPr>
      <w:r>
        <w:rPr>
          <w:rFonts w:ascii="Carlito" w:hAnsi="Carlito" w:eastAsia="Carlito"/>
          <w:sz w:val="20"/>
        </w:rPr>
        <w:t>Revisar que el PVP con IVA y sin IVA sean coherentes con el tipo de IVA.</w:t>
      </w:r>
    </w:p>
    <w:p>
      <w:pPr>
        <w:pStyle w:val="ListBullet"/>
        <w:spacing w:after="40" w:line="240" w:lineRule="auto"/>
      </w:pPr>
      <w:r>
        <w:rPr>
          <w:rFonts w:ascii="Carlito" w:hAnsi="Carlito" w:eastAsia="Carlito"/>
          <w:sz w:val="20"/>
        </w:rPr>
        <w:t>Comprobar el coste antes de aplicar actualizaciones automáticas o márgenes mínimos.</w:t>
      </w:r>
    </w:p>
    <w:p>
      <w:pPr>
        <w:pStyle w:val="ListBullet"/>
        <w:spacing w:after="40" w:line="240" w:lineRule="auto"/>
      </w:pPr>
      <w:r>
        <w:rPr>
          <w:rFonts w:ascii="Carlito" w:hAnsi="Carlito" w:eastAsia="Carlito"/>
          <w:sz w:val="20"/>
        </w:rPr>
        <w:t>Verificar las tarifas especiales y sus redondeos.</w:t>
      </w:r>
    </w:p>
    <w:p>
      <w:pPr>
        <w:pStyle w:val="ListBullet"/>
        <w:spacing w:after="40" w:line="240" w:lineRule="auto"/>
      </w:pPr>
      <w:r>
        <w:rPr>
          <w:rFonts w:ascii="Carlito" w:hAnsi="Carlito" w:eastAsia="Carlito"/>
          <w:sz w:val="20"/>
        </w:rPr>
        <w:t>No confundir el precio estadístico vendido con el PVP de tarifa cuando existe descuento.</w:t>
      </w:r>
    </w:p>
    <w:p>
      <w:pPr>
        <w:pStyle w:val="Heading2"/>
        <w:keepNext/>
      </w:pPr>
      <w:r>
        <w:t>4.3 Códigos EAN</w:t>
      </w:r>
    </w:p>
    <w:p>
      <w:pPr>
        <w:pStyle w:val="BodyText"/>
        <w:keepLines w:val="0"/>
        <w:spacing w:after="100" w:line="259" w:lineRule="auto"/>
        <w:ind w:left="0"/>
      </w:pPr>
      <w:r>
        <w:rPr>
          <w:rFonts w:ascii="Carlito" w:hAnsi="Carlito" w:eastAsia="Carlito"/>
          <w:i w:val="0"/>
          <w:sz w:val="21"/>
        </w:rPr>
        <w:t>Los códigos EAN permiten localizar artículos desde lectores y procesos de compra o venta. Las tablas de EAN relacionan el código leído con el artículo correspondiente.</w:t>
      </w:r>
    </w:p>
    <w:p>
      <w:pPr>
        <w:pStyle w:val="ListBullet"/>
        <w:spacing w:after="40" w:line="240" w:lineRule="auto"/>
      </w:pPr>
      <w:r>
        <w:rPr>
          <w:rFonts w:ascii="Carlito" w:hAnsi="Carlito" w:eastAsia="Carlito"/>
          <w:sz w:val="20"/>
        </w:rPr>
        <w:t>Evitar EAN duplicados salvo que exista una razón controlada.</w:t>
      </w:r>
    </w:p>
    <w:p>
      <w:pPr>
        <w:pStyle w:val="ListBullet"/>
        <w:spacing w:after="40" w:line="240" w:lineRule="auto"/>
      </w:pPr>
      <w:r>
        <w:rPr>
          <w:rFonts w:ascii="Carlito" w:hAnsi="Carlito" w:eastAsia="Carlito"/>
          <w:sz w:val="20"/>
        </w:rPr>
        <w:t>Comprobar que la búsqueda por EAN encuentra el artículo correcto.</w:t>
      </w:r>
    </w:p>
    <w:p>
      <w:pPr>
        <w:pStyle w:val="ListBullet"/>
        <w:spacing w:after="40" w:line="240" w:lineRule="auto"/>
      </w:pPr>
      <w:r>
        <w:rPr>
          <w:rFonts w:ascii="Carlito" w:hAnsi="Carlito" w:eastAsia="Carlito"/>
          <w:sz w:val="20"/>
        </w:rPr>
        <w:t>Cuando se lea un EAN inexistente, debe estudiarse la opción de asociarlo al artículo adecuado sin interrumpir el flujo de trabajo.</w:t>
      </w:r>
    </w:p>
    <w:p>
      <w:pPr>
        <w:pStyle w:val="Heading2"/>
        <w:keepNext/>
      </w:pPr>
      <w:r>
        <w:t>4.4 Familias y proveedores</w:t>
      </w:r>
    </w:p>
    <w:p>
      <w:pPr>
        <w:pStyle w:val="BodyText"/>
        <w:keepLines w:val="0"/>
        <w:spacing w:after="100" w:line="259" w:lineRule="auto"/>
        <w:ind w:left="0"/>
      </w:pPr>
      <w:r>
        <w:rPr>
          <w:rFonts w:ascii="Carlito" w:hAnsi="Carlito" w:eastAsia="Carlito"/>
          <w:i w:val="0"/>
          <w:sz w:val="21"/>
        </w:rPr>
        <w:t>Las familias facilitan búsquedas, estadísticas, organización del teclado táctil y análisis de ventas. El proveedor principal se utiliza en pedidos automáticos y procesos de reposición.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CALIDAD DE DATOS: </w:t>
            </w:r>
            <w:r>
              <w:rPr>
                <w:rFonts w:ascii="Carlito" w:hAnsi="Carlito" w:eastAsia="Carlito"/>
                <w:color w:val="000000"/>
                <w:sz w:val="19"/>
              </w:rPr>
              <w:t>Una familia o proveedor incorrectos afectan a pedidos, estadísticas y filtros. Es preferible corregirlos desde la ficha de Artículos y registrar el cambio.</w:t>
            </w:r>
          </w:p>
        </w:tc>
      </w:tr>
    </w:tbl>
    <w:p>
      <w:pPr>
        <w:spacing w:after="20"/>
      </w:pPr>
    </w:p>
    <w:p>
      <w:pPr>
        <w:pStyle w:val="Heading2"/>
        <w:keepNext/>
      </w:pPr>
      <w:r>
        <w:t>4.5 Actualización automática de precios</w:t>
      </w:r>
    </w:p>
    <w:p>
      <w:pPr>
        <w:pStyle w:val="BodyText"/>
        <w:keepLines w:val="0"/>
        <w:spacing w:after="100" w:line="259" w:lineRule="auto"/>
        <w:ind w:left="0"/>
      </w:pPr>
      <w:r>
        <w:rPr>
          <w:rFonts w:ascii="Carlito" w:hAnsi="Carlito" w:eastAsia="Carlito"/>
          <w:i w:val="0"/>
          <w:sz w:val="21"/>
        </w:rPr>
        <w:t>El actualizador de tarifas permite modificar precios aplicando reglas y terminaciones. Puede utilizar terminaciones 5, 9 o 0 y controlar un margen mínimo configurable.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conjunto de artículos.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el criterio de actualización.</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Configurar la terminación deseada.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Revisar el margen mínimo y los avisos.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Previsualizar o comprobar una muestra antes de aplicar.</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Registrar o consultar el histórico de cambios de precios.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Una actualización masiva puede afectar cientos de artículos. Realizar copia previa y revisar especialmente coste, IVA y redondeos.</w:t>
            </w:r>
          </w:p>
        </w:tc>
      </w:tr>
    </w:tbl>
    <w:p>
      <w:pPr>
        <w:spacing w:after="20"/>
      </w:pPr>
    </w:p>
    <w:p>
      <w:pPr>
        <w:pStyle w:val="Heading2"/>
        <w:keepNext/>
      </w:pPr>
      <w:r>
        <w:t>4.6 Historial de precios y existencias</w:t>
      </w:r>
    </w:p>
    <w:p>
      <w:pPr>
        <w:pStyle w:val="BodyText"/>
        <w:keepLines w:val="0"/>
        <w:spacing w:after="100" w:line="259" w:lineRule="auto"/>
        <w:ind w:left="0"/>
      </w:pPr>
      <w:r>
        <w:rPr>
          <w:rFonts w:ascii="Carlito" w:hAnsi="Carlito" w:eastAsia="Carlito"/>
          <w:i w:val="0"/>
          <w:sz w:val="21"/>
        </w:rPr>
        <w:t>Los cambios de tarifas y existencias deben quedar registrados en los módulos de histórico correspondientes. En Actualización de stocks, Ver historial sin código debe mostrar todos los cambios; al indicar un código, debe filtrar correctamente.</w:t>
      </w:r>
    </w:p>
    <w:p>
      <w:pPr>
        <w:pStyle w:val="ListBullet"/>
        <w:spacing w:after="40" w:line="240" w:lineRule="auto"/>
      </w:pPr>
      <w:r>
        <w:rPr>
          <w:rFonts w:ascii="Carlito" w:hAnsi="Carlito" w:eastAsia="Carlito"/>
          <w:sz w:val="20"/>
        </w:rPr>
        <w:t>Las columnas del historial deben poder ordenarse.</w:t>
      </w:r>
    </w:p>
    <w:p>
      <w:pPr>
        <w:pStyle w:val="ListBullet"/>
        <w:spacing w:after="40" w:line="240" w:lineRule="auto"/>
      </w:pPr>
      <w:r>
        <w:rPr>
          <w:rFonts w:ascii="Carlito" w:hAnsi="Carlito" w:eastAsia="Carlito"/>
          <w:sz w:val="20"/>
        </w:rPr>
        <w:t>La consulta sin filtro no debe limitarse a un único registro.</w:t>
      </w:r>
    </w:p>
    <w:p>
      <w:pPr>
        <w:pStyle w:val="ListBullet"/>
        <w:spacing w:after="40" w:line="240" w:lineRule="auto"/>
      </w:pPr>
      <w:r>
        <w:rPr>
          <w:rFonts w:ascii="Carlito" w:hAnsi="Carlito" w:eastAsia="Carlito"/>
          <w:sz w:val="20"/>
        </w:rPr>
        <w:t>Las fechas, usuarios y valores anterior/nuevo deben ser legibles.</w:t>
      </w:r>
    </w:p>
    <w:p>
      <w:pPr>
        <w:pStyle w:val="Heading2"/>
        <w:keepNext/>
      </w:pPr>
      <w:r>
        <w:t>4.7 Sistema de puntos</w:t>
      </w:r>
    </w:p>
    <w:p>
      <w:pPr>
        <w:pStyle w:val="BodyText"/>
        <w:keepLines w:val="0"/>
        <w:spacing w:after="100" w:line="259" w:lineRule="auto"/>
        <w:ind w:left="0"/>
      </w:pPr>
      <w:r>
        <w:rPr>
          <w:rFonts w:ascii="Carlito" w:hAnsi="Carlito" w:eastAsia="Carlito"/>
          <w:i w:val="0"/>
          <w:sz w:val="21"/>
        </w:rPr>
        <w:t>La zona Nivel de puntos debe tener anchura suficiente para mostrar el texto explicativo completo. Antes de utilizarla, comprobar la configuración comercial y el efecto en clientes y ventas.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artículo: Datos de compras, Datos de ventas, coste y tarifas</w:t>
            </w:r>
          </w:p>
        </w:tc>
      </w:tr>
    </w:tbl>
    <w:p>
      <w:pPr>
        <w:spacing w:after="40"/>
      </w:pPr>
    </w:p>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v0.5 mantiene Menú, Configuración y Ventas actualizados e incorpora el capítulo de Clientes ilustrado. Las próximas revisiones ilustrarán Artículos, Caja, Dashboard, facturación y VeriFactu. Al finalizar todos los capítulos se realizará una auditoría visual global para confirmar que cada número de zona conserva su cuadro y su referencia.</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v0.5 - Clientes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v0.5 - Clientes ilustrado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v0.4</dc:title>
  <dc:subject>Edición ilustrada de Configuración general</dc:subject>
  <dc:creator>FacturLinEx</dc:creator>
  <cp:keywords>FacturLinEx, manual, configuración, ventas, MariaDB, VeriFactu</cp:keywords>
  <dc:description>Documento vivo. Edición v0.4.</dc:description>
  <cp:lastModifiedBy/>
  <cp:revision>1</cp:revision>
  <dcterms:created xsi:type="dcterms:W3CDTF">2013-12-23T23:15:00Z</dcterms:created>
  <dcterms:modified xsi:type="dcterms:W3CDTF">2013-12-23T23:15:00Z</dcterms:modified>
  <cp:category/>
</cp:coreProperties>
</file>