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</w:p>
    <w:p>
      <w:pPr>
        <w:spacing w:after="80"/>
      </w:pPr>
      <w:r>
        <w:rPr>
          <w:color w:val="1B2330"/>
          <w:sz w:val="22"/>
          <w:szCs w:val="22"/>
        </w:rPr>
        <w:t xml:space="preserve">June 2, 2026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The Honourable Minister</w:t>
      </w:r>
    </w:p>
    <w:p>
      <w:pPr>
        <w:spacing w:after="80"/>
      </w:pPr>
      <w:r>
        <w:rPr>
          <w:color w:val="1B2330"/>
          <w:sz w:val="22"/>
          <w:szCs w:val="22"/>
        </w:rPr>
        <w:t xml:space="preserve">Department of Justice and Public Safety</w:t>
      </w:r>
    </w:p>
    <w:p>
      <w:pPr>
        <w:spacing w:after="80"/>
      </w:pPr>
      <w:r>
        <w:rPr>
          <w:color w:val="1B2330"/>
          <w:sz w:val="22"/>
          <w:szCs w:val="22"/>
        </w:rPr>
        <w:t xml:space="preserve">Fredericton, New Brunswick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Re: Recognizing and protecting the criminologist title in New Brunswick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Dear Minister,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On behalf of the New Brunswick Professional Association of Criminology (NBPAC), I am honoured to submit the attached brief in support of recognizing and protecting the title of “criminologist” in our province.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In New Brunswick, this title is protected by no law: anyone may claim it, with no recognized training or ethical oversight. Yet criminologists work with vulnerable people and inform important justice decisions. Protection of the public calls for clear oversight.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The NBPAC already has bylaws, a code of ethics, a scope-of-practice standard and a complaints-handling process. Our initiative is meant to complement the professions already regulated — social work, psychology and counselling therapy — not to compete with them.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We would be honoured to meet with you to present our proposal and explore possible paths, including a title-protection bill. Our services and oversight are offered in both official languages.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Please accept, Minister, the expression of our high regard.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The President</w:t>
      </w:r>
    </w:p>
    <w:p>
      <w:pPr>
        <w:spacing w:after="80"/>
      </w:pPr>
      <w:r>
        <w:rPr>
          <w:color w:val="1B2330"/>
          <w:sz w:val="22"/>
          <w:szCs w:val="22"/>
        </w:rPr>
        <w:t xml:space="preserve">New Brunswick Professional Association of Criminology</w:t>
      </w:r>
    </w:p>
    <w:p>
      <w:pPr>
        <w:spacing w:after="80"/>
      </w:pPr>
      <w:r>
        <w:rPr>
          <w:color w:val="1B2330"/>
          <w:sz w:val="22"/>
          <w:szCs w:val="22"/>
        </w:rPr>
        <w:t xml:space="preserve">info@apcnb-nbpac.ca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www.apcnb.ca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609600" cy="60960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20"/>
        <w:szCs w:val="20"/>
      </w:rPr>
      <w:t xml:space="preserve">	Association professionnelle de criminologie du Nouveau-Brunswick</w:t>
    </w:r>
  </w:p>
  <w:p>
    <w:pPr>
      <w:pBdr>
        <w:bottom w:val="single" w:color="B08A3E" w:sz="10" w:space="8"/>
      </w:pBdr>
      <w:spacing w:after="40"/>
      <w:jc w:val="right"/>
    </w:pPr>
    <w:r>
      <w:rPr>
        <w:i/>
        <w:iCs/>
        <w:color w:val="5B6675"/>
        <w:sz w:val="18"/>
        <w:szCs w:val="18"/>
      </w:rPr>
      <w:t xml:space="preserve">New Brunswick Professional Association of Criminology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 à en-tête / Letterhead</dc:title>
  <dc:creator>APCNB / NBPAC</dc:creator>
  <cp:lastModifiedBy>Un-named</cp:lastModifiedBy>
  <cp:revision>1</cp:revision>
  <dcterms:created xsi:type="dcterms:W3CDTF">2026-09-15T01:59:17.499Z</dcterms:created>
  <dcterms:modified xsi:type="dcterms:W3CDTF">2026-09-15T01:59:17.499Z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