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Ordre du jour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2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Ouverture de l'assemblée et mot de bienvenue.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Vérification du quorum et constatation de la régularité de l'avis de convocation.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de l'ordre du jour.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 du procès-verbal de l'assemblée générale précédente.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présidence.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de la trésorerie et présentation des états financiers.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Nomination de la personne vérificatrice pour le prochain 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Rapport du comité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Ratification des cotisations annuelles.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Élection des administrateurs.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Affaires nouvelles.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Date de la prochaine assemblée.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Levée de l'assemblée.</w:t>
      </w:r>
    </w:p>
    <w:p>
      <w:pPr>
        <w:spacing w:after="120"/>
      </w:pPr>
      <w:r>
        <w:t xml:space="preserve"> 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Les documents de l'assemblée sont fournis dans les deux langues officielles. Toute personne peut s'exprimer en français ou en anglais.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Ordre du jour AGA / AGM Agenda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Ordre du jour — Assemblée générale annuelle / Agenda — Annual General Meeting</dc:title>
  <dc:creator>APCNB / NBPAC</dc:creator>
  <cp:lastModifiedBy>Un-named</cp:lastModifiedBy>
  <cp:revision>1</cp:revision>
  <dcterms:created xsi:type="dcterms:W3CDTF">2026-09-15T01:59:16.749Z</dcterms:created>
  <dcterms:modified xsi:type="dcterms:W3CDTF">2026-09-15T01:59:16.749Z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