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June 2,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Honourable Minister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Department of Justice and Public Safety</w:t>
      </w:r>
    </w:p>
    <w:p>
      <w:pPr>
        <w:spacing w:after="80"/>
      </w:pPr>
      <w:r>
        <w:rPr>
          <w:color w:val="1B2330"/>
          <w:sz w:val="22"/>
          <w:szCs w:val="22"/>
        </w:rPr>
        <w:t xml:space="preserve">Fredericton, New 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Re: Recognizing and protecting the criminologist title in New 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Dear Minister,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On behalf of the New Brunswick Professional Association of Criminology (NBPAC), I am honoured to submit the attached brief in support of recognizing and protecting the title of “criminologist” in our province.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 New Brunswick, this title is protected by no law: anyone may claim it, with no recognized training or ethical oversight. Yet criminologists work with vulnerable people and inform important justice decisions. Protection of the public calls for clear oversight.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NBPAC already has bylaws, a code of ethics, a scope-of-practice standard and a complaints-handling process. Our initiative is meant to complement the professions already regulated — social work, psychology and counselling therapy — not to compete with them.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We would be honoured to meet with you to present our proposal and explore possible paths, including a title-protection bill. Our services and oversight are offered in both official languages.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Please accept, Minister, the expression of our high regard.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President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New Brunswick Professional Association of Criminology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2026-10-29T07:58:28.357Z</dcterms:created>
  <dcterms:modified xsi:type="dcterms:W3CDTF">2026-10-29T07:58:28.357Z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