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Grille de compétences du criminologue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La présente grille décrit les compétences attendues du criminologue au Nouveau-Brunswick. Elle appuie l'admission, la formation continue et la demande de reconnaissance professionnelle.</w:t>
      </w:r>
    </w:p>
    <w:p>
      <w:pPr>
        <w:pStyle w:val="Heading2"/>
      </w:pPr>
      <w:r>
        <w:t xml:space="preserve">1. Savoirs fondamentaux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Connaître les théories criminologiques et les facteurs de la criminalité et de la victimisation.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Comprendre le système de justice pénale, le droit applicable et les institutions correctionnelles.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Maîtriser les méthodes de recherche et l'analyse de données en sciences sociales.</w:t>
      </w:r>
    </w:p>
    <w:p>
      <w:pPr>
        <w:pStyle w:val="Heading2"/>
      </w:pPr>
      <w:r>
        <w:t xml:space="preserve">2. Évaluation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le risque et les besoins criminogènes à l'aide d'outils structurés ou actuariels.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Analyser une situation et formuler des conclusions fondées sur des données probantes.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Reconnaître les limites de son évaluation et s'abstenir de tout diagnostic clinique réservé.</w:t>
      </w:r>
    </w:p>
    <w:p>
      <w:pPr>
        <w:pStyle w:val="Heading2"/>
      </w:pPr>
      <w:r>
        <w:t xml:space="preserve">3. Intervention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Élaborer, mettre en œuvre et évaluer des plans et des programmes d'intervention.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Soutenir la réinsertion sociale et accompagner les personnes victimes (soutien non clinique).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Animer des processus de justice réparatrice et de médiation.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des stratégies de prévention de la criminalité et de sécurité communautaire.</w:t>
      </w:r>
    </w:p>
    <w:p>
      <w:pPr>
        <w:pStyle w:val="Heading2"/>
      </w:pPr>
      <w:r>
        <w:t xml:space="preserve">4. Éthique et professionnalisme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Respecter le code de déontologie et les limites de son champ d'exercice.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Diriger la personne vers la profession compétente au besoin (devoir de référence).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Protéger la confidentialité et gérer les conflits d'intérêts.</w:t>
      </w:r>
    </w:p>
    <w:p>
      <w:pPr>
        <w:pStyle w:val="Heading2"/>
      </w:pPr>
      <w:r>
        <w:t xml:space="preserve">5. Communication et collaboration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Rédiger des rapports clairs et témoigner devant les tribunaux dans les limites de sa compétence.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Travailler en interdisciplinarité avec les autres professions.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Offrir ses services dans les deux langues officielles, selon le choix de la personne.</w:t>
      </w:r>
    </w:p>
    <w:p>
      <w:pPr>
        <w:pStyle w:val="Heading2"/>
      </w:pPr>
      <w:r>
        <w:t xml:space="preserve">6. Pensée critique et perfectionnement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de façon critique les pratiques et les programmes.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Maintenir et actualiser ses compétences par la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l'avancement des connaissances et des politiques.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Grille de compétences / Competency framework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Grille de compétences du criminologue / Criminologist competency framework</dc:title>
  <dc:creator>APCNB / NBPAC</dc:creator>
  <cp:lastModifiedBy>Un-named</cp:lastModifiedBy>
  <cp:revision>1</cp:revision>
  <dcterms:created xsi:type="dcterms:W3CDTF">2026-10-29T07:58:26.963Z</dcterms:created>
  <dcterms:modified xsi:type="dcterms:W3CDTF">2026-10-29T07:58:26.963Z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