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Grille de compétences du criminologue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25 septembre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La présente grille décrit les compétences attendues du criminologue au Nouveau-Brunswick. Elle appuie l'admission, la formation continue et la demande de reconnaissance professionnelle.</w:t>
      </w:r>
    </w:p>
    <w:p>
      <w:pPr>
        <w:pStyle w:val="Heading2"/>
      </w:pPr>
      <w:r>
        <w:t xml:space="preserve">1. Savoirs fondamentaux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Connaître les théories criminologiques et les facteurs de la criminalité et de la victimisation.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Comprendre le système de justice pénale, le droit applicable et les institutions correctionnelles.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Maîtriser les méthodes de recherche et l'analyse de données en sciences sociales.</w:t>
      </w:r>
    </w:p>
    <w:p>
      <w:pPr>
        <w:pStyle w:val="Heading2"/>
      </w:pPr>
      <w:r>
        <w:t xml:space="preserve">2. Évaluation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Évaluer le risque et les besoins criminogènes à l'aide d'outils structurés ou actuariels.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Analyser une situation et formuler des conclusions fondées sur des données probantes.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Reconnaître les limites de son évaluation et s'abstenir de tout diagnostic clinique réservé.</w:t>
      </w:r>
    </w:p>
    <w:p>
      <w:pPr>
        <w:pStyle w:val="Heading2"/>
      </w:pPr>
      <w:r>
        <w:t xml:space="preserve">3. Intervention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Élaborer, mettre en œuvre et évaluer des plans et des programmes d'intervention.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Soutenir la réinsertion sociale et accompagner les personnes victimes (soutien non clinique).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Animer des processus de justice réparatrice et de médiation.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Concevoir des stratégies de prévention de la criminalité et de sécurité communautaire.</w:t>
      </w:r>
    </w:p>
    <w:p>
      <w:pPr>
        <w:pStyle w:val="Heading2"/>
      </w:pPr>
      <w:r>
        <w:t xml:space="preserve">4. Éthique et professionnalisme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Respecter le code de déontologie et les limites de son champ d'exercice.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Diriger la personne vers la profession compétente au besoin (devoir de référence).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Protéger la confidentialité et gérer les conflits d'intérêts.</w:t>
      </w:r>
    </w:p>
    <w:p>
      <w:pPr>
        <w:pStyle w:val="Heading2"/>
      </w:pPr>
      <w:r>
        <w:t xml:space="preserve">5. Communication et collaboration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Rédiger des rapports clairs et témoigner devant les tribunaux dans les limites de sa compétence.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Travailler en interdisciplinarité avec les autres professions.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Offrir ses services dans les deux langues officielles, selon le choix de la personne.</w:t>
      </w:r>
    </w:p>
    <w:p>
      <w:pPr>
        <w:pStyle w:val="Heading2"/>
      </w:pPr>
      <w:r>
        <w:t xml:space="preserve">6. Pensée critique et perfectionnement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Évaluer de façon critique les pratiques et les programmes.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Maintenir et actualiser ses compétences par la formation continue.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Contribuer à l'avancement des connaissances et des politiques.</w:t>
      </w:r>
    </w:p>
    <w:p>
      <w:r>
        <w:br w:type="page"/>
      </w:r>
    </w:p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Criminologist competency framework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September 25,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This framework describes the competencies expected of the criminologist in New Brunswick. It supports admission, continuing education and the professional-recognition request.</w:t>
      </w:r>
    </w:p>
    <w:p>
      <w:pPr>
        <w:pStyle w:val="Heading2"/>
      </w:pPr>
      <w:r>
        <w:t xml:space="preserve">1. Foundational knowledge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 criminological theories and the factors behind crime and victimization.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Understand the criminal-justice system, applicable law and correctional institutions.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Master research methods and data analysis in the social sciences.</w:t>
      </w:r>
    </w:p>
    <w:p>
      <w:pPr>
        <w:pStyle w:val="Heading2"/>
      </w:pPr>
      <w:r>
        <w:t xml:space="preserve">2. Assessment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Assess criminogenic risk and needs using structured or actuarial tools.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Analyze a situation and draw evidence-based conclusions.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Recognize the limits of one's assessment and refrain from any reserved clinical diagnosis.</w:t>
      </w:r>
    </w:p>
    <w:p>
      <w:pPr>
        <w:pStyle w:val="Heading2"/>
      </w:pPr>
      <w:r>
        <w:t xml:space="preserve">3. Intervention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Develop, implement and evaluate intervention plans and programs.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social reintegration and accompany victims (non-clinical support).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Facilitate restorative-justice and mediation processes.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crime-prevention and community-safety strategies.</w:t>
      </w:r>
    </w:p>
    <w:p>
      <w:pPr>
        <w:pStyle w:val="Heading2"/>
      </w:pPr>
      <w:r>
        <w:t xml:space="preserve">4. Ethics and professionalism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Comply with the code of ethics and the limits of one's scope of practice.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 the person to the competent profession when needed (duty of referral).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 confidentiality and manage conflicts of interest.</w:t>
      </w:r>
    </w:p>
    <w:p>
      <w:pPr>
        <w:pStyle w:val="Heading2"/>
      </w:pPr>
      <w:r>
        <w:t xml:space="preserve">5. Communication and collaboration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clear reports and testify before courts within the limits of one's competence.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interdisciplinarily with other professions.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services in both official languages, according to the person's choice.</w:t>
      </w:r>
    </w:p>
    <w:p>
      <w:pPr>
        <w:pStyle w:val="Heading2"/>
      </w:pPr>
      <w:r>
        <w:t xml:space="preserve">6. Critical thinking and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Critically appraise practices and programs.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Maintain and update one's competencies through continuing education.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Contribute to the advancement of knowledge and policy.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Grille de compétences / Competency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Grille de compétences du criminologue / Criminologist competency framework</dc:title>
  <dc:creator>APCNB / NBPAC</dc:creator>
  <cp:lastModifiedBy>Un-named</cp:lastModifiedBy>
  <cp:revision>1</cp:revision>
  <dcterms:created xsi:type="dcterms:W3CDTF">2026-10-29T07:58:26.139Z</dcterms:created>
  <dcterms:modified xsi:type="dcterms:W3CDTF">2026-10-29T07:58:26.139Z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