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Politique d'adhésion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pStyle w:val="Heading2"/>
      </w:pPr>
      <w:r>
        <w:t xml:space="preserve">1. Objet</w:t>
      </w:r>
    </w:p>
    <w:p>
      <w:pPr>
        <w:spacing w:after="140"/>
      </w:pPr>
      <w:r>
        <w:t xml:space="preserve">La présente politique définit les catégories de membres, les critères d'admission, les cotisations et les conditions de maintien de la qualité de membre.</w:t>
      </w:r>
    </w:p>
    <w:p>
      <w:pPr>
        <w:pStyle w:val="Heading2"/>
      </w:pPr>
      <w:r>
        <w:t xml:space="preserve">2. Catégories et critères d'admission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Critères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Cotisation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régulier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Diplôme universitaire en criminologie ou domaine connexe et fonctions pertinentes.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125 $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étudiant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Inscription à un programme reconnu de criminologie ou de justice pénale.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Gratuit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associé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Professionnel d'une discipline connexe appuyant les objets de l'Association.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90 $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Membre honoraire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Personne nommée par le conseil pour sa contribution exceptionnelle.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Sans frais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Frais d'étude de dossier</w:t>
      </w:r>
      <w:r>
        <w:t xml:space="preserve"> : des frais de 50 $ (non remboursables) s'appliquent à l'admission des membres réguliers et associés, en plus de la cotisation; les membres étudiants en sont exemptés.</w:t>
      </w:r>
    </w:p>
    <w:p>
      <w:pPr>
        <w:spacing w:after="140"/>
      </w:pPr>
      <w:r>
        <w:rPr>
          <w:b/>
          <w:bCs/>
        </w:rPr>
        <w:t xml:space="preserve">Stage et expérience pratique</w:t>
      </w:r>
      <w:r>
        <w:t xml:space="preserve"> : pour les candidat·es en début de carrière, l'admission comme membre régulier requiert un stage supervisé d'au minimum 540 heures dans le domaine, ou l'équivalent reconnu par le comité d'admission.</w:t>
      </w:r>
    </w:p>
    <w:p>
      <w:pPr>
        <w:pStyle w:val="Heading2"/>
      </w:pPr>
      <w:r>
        <w:t xml:space="preserve">3. Processus d'admission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Soumission du formulaire d'adhésion et des pièces justificatives.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Examen du dossier par le comité d'admission.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Engagement écrit à respecter le Code de déontologie.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Paiement des frais d'étude de dossier (non remboursables) et de la cotisation, puis confirmation de l'adhésion.</w:t>
      </w:r>
    </w:p>
    <w:p>
      <w:pPr>
        <w:pStyle w:val="Heading2"/>
      </w:pPr>
      <w:r>
        <w:t xml:space="preserve">4. Droits et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Tous les membres reçoivent les services dans la langue officielle de leur choix.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Seuls les membres réguliers en règle votent et sont éligibles.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Tout membre respecte les statuts, les politiques et le code de déontologie.</w:t>
      </w:r>
    </w:p>
    <w:p>
      <w:pPr>
        <w:pStyle w:val="Heading2"/>
      </w:pPr>
      <w:r>
        <w:t xml:space="preserve">5. Renouvellement</w:t>
      </w:r>
    </w:p>
    <w:p>
      <w:pPr>
        <w:spacing w:after="140"/>
      </w:pPr>
      <w:r>
        <w:t xml:space="preserve">L'adhésion se renouvelle annuellement. Un avis est transmis 30 jours avant l'échéance. Le non-paiement dans les 60 jours entraîne la suspension.</w:t>
      </w:r>
    </w:p>
    <w:p>
      <w:pPr>
        <w:pStyle w:val="Heading2"/>
      </w:pPr>
      <w:r>
        <w:t xml:space="preserve">6. Démission et réadmission</w:t>
      </w:r>
    </w:p>
    <w:p>
      <w:pPr>
        <w:spacing w:after="140"/>
      </w:pPr>
      <w:r>
        <w:t xml:space="preserve">Un membre peut démissionner par avis écrit. La réadmission est possible sur paiement des cotisations dues et examen du dossier.</w:t>
      </w:r>
    </w:p>
    <w:p>
      <w:pPr>
        <w:pStyle w:val="Heading2"/>
      </w:pPr>
      <w:r>
        <w:t xml:space="preserve">7. Protection des renseignements</w:t>
      </w:r>
    </w:p>
    <w:p>
      <w:pPr>
        <w:spacing w:after="140"/>
      </w:pPr>
      <w:r>
        <w:t xml:space="preserve">Les renseignements recueillis sont traités conformément à la Politique de confidentialité.</w:t>
      </w:r>
    </w:p>
    <w:p>
      <w:r>
        <w:br w:type="page"/>
      </w:r>
    </w:p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Membership Policy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pStyle w:val="Heading2"/>
      </w:pPr>
      <w:r>
        <w:t xml:space="preserve">1. Purpose</w:t>
      </w:r>
    </w:p>
    <w:p>
      <w:pPr>
        <w:spacing w:after="140"/>
      </w:pPr>
      <w:r>
        <w:t xml:space="preserve">This policy defines the membership categories, admission criteria, dues and conditions for maintaining membership.</w:t>
      </w:r>
    </w:p>
    <w:p>
      <w:pPr>
        <w:pStyle w:val="Heading2"/>
      </w:pPr>
      <w:r>
        <w:t xml:space="preserve">2. Categories and Admission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Regular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University degree in criminology or a related field and relevant duties.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Enrolment in a recognized criminology or criminal-justice program.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Associate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 in a related discipline supporting the Association's objects.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Honorary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 appointed by the Board for an exceptional contribution.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charge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b/>
          <w:bCs/>
        </w:rPr>
        <w:t xml:space="preserve">Application review fee</w:t>
      </w:r>
      <w:r>
        <w:t xml:space="preserve">: a non-refundable fee of $50 applies to the admission of regular and associate members, in addition to dues; student members are exempt.</w:t>
      </w:r>
    </w:p>
    <w:p>
      <w:pPr>
        <w:spacing w:after="140"/>
      </w:pPr>
      <w:r>
        <w:rPr>
          <w:b/>
          <w:bCs/>
        </w:rPr>
        <w:t xml:space="preserve">Internship and practical experience</w:t>
      </w:r>
      <w:r>
        <w:t xml:space="preserve">: for early-career applicants, admission as a regular member requires a supervised internship of at least 540 hours in the field, or an equivalent recognized by the admissions committee.</w:t>
      </w:r>
    </w:p>
    <w:p>
      <w:pPr>
        <w:pStyle w:val="Heading2"/>
      </w:pPr>
      <w:r>
        <w:t xml:space="preserve">3. Admission Process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Submission of the membership form and supporting documents.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Review of the file by the admissions committee.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Written undertaking to abide by the Code of Ethics.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Payment of the non-refundable application review fee and the dues, then confirmation of membership.</w:t>
      </w:r>
    </w:p>
    <w:p>
      <w:pPr>
        <w:pStyle w:val="Heading2"/>
      </w:pPr>
      <w:r>
        <w:t xml:space="preserve">4. Rights and Obligations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members receive services in the official language of their choice.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regular members in good standing vote and stand for election.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 member complies with the bylaws, policies and code of ethics.</w:t>
      </w:r>
    </w:p>
    <w:p>
      <w:pPr>
        <w:pStyle w:val="Heading2"/>
      </w:pPr>
      <w:r>
        <w:t xml:space="preserve">5. Renewal</w:t>
      </w:r>
    </w:p>
    <w:p>
      <w:pPr>
        <w:spacing w:after="140"/>
      </w:pPr>
      <w:r>
        <w:t xml:space="preserve">Membership renews annually. Notice is sent 30 days before expiry. Non-payment within 60 days results in suspension.</w:t>
      </w:r>
    </w:p>
    <w:p>
      <w:pPr>
        <w:pStyle w:val="Heading2"/>
      </w:pPr>
      <w:r>
        <w:t xml:space="preserve">6. Resignation and Readmission</w:t>
      </w:r>
    </w:p>
    <w:p>
      <w:pPr>
        <w:spacing w:after="140"/>
      </w:pPr>
      <w:r>
        <w:t xml:space="preserve">A member may resign by written notice. Readmission is possible upon payment of dues owed and review of the file.</w:t>
      </w:r>
    </w:p>
    <w:p>
      <w:pPr>
        <w:pStyle w:val="Heading2"/>
      </w:pPr>
      <w:r>
        <w:t xml:space="preserve">7. Protection of Information</w:t>
      </w:r>
    </w:p>
    <w:p>
      <w:pPr>
        <w:spacing w:after="140"/>
      </w:pPr>
      <w:r>
        <w:t xml:space="preserve">Information collected is handled in accordance with the Privacy Policy.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Politique d'adhésion / Membership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d'adhésion / Membership Policy</dc:title>
  <dc:creator>APCNB / NBPAC</dc:creator>
  <cp:lastModifiedBy>Un-named</cp:lastModifiedBy>
  <cp:revision>1</cp:revision>
  <dcterms:created xsi:type="dcterms:W3CDTF">2026-10-29T07:58:25.766Z</dcterms:created>
  <dcterms:modified xsi:type="dcterms:W3CDTF">2026-10-29T07:58:25.766Z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