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Criminologist competency framework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framework describes the competencies expected of the criminologist in New Brunswick. It supports admission, continuing education and the professional-recognition request.</w:t>
      </w:r>
    </w:p>
    <w:p>
      <w:pPr>
        <w:pStyle w:val="Heading2"/>
      </w:pPr>
      <w:r>
        <w:t xml:space="preserve">1. Foundational knowledge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 criminological theories and the factors behind crime and victimization.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Understand the criminal-justice system, applicable law and correctional institutions.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research methods and data analysis in the social sciences.</w:t>
      </w:r>
    </w:p>
    <w:p>
      <w:pPr>
        <w:pStyle w:val="Heading2"/>
      </w:pPr>
      <w:r>
        <w:t xml:space="preserve">2.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Assess criminogenic risk and needs using structured or actuarial tools.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 a situation and draw evidence-based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Recognize the limits of one's assessment and refrain from any reserved clinical diagnosis.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Develop, implement and evaluate intervention plans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social reintegration and accompany victims (non-clinical support).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Facilitate restorative-justice and mediation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crime-prevention and community-safety strategies.</w:t>
      </w:r>
    </w:p>
    <w:p>
      <w:pPr>
        <w:pStyle w:val="Heading2"/>
      </w:pPr>
      <w:r>
        <w:t xml:space="preserve">4. Ethics and professionalism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Comply with the code of ethics and the limits of one's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 the person to the competent profession when needed (duty of referral).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confidentiality and manage conflicts of interest.</w:t>
      </w:r>
    </w:p>
    <w:p>
      <w:pPr>
        <w:pStyle w:val="Heading2"/>
      </w:pPr>
      <w:r>
        <w:t xml:space="preserve">5. Communication and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clear reports and testify before courts within the limits of one's competence.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interdisciplinarily with other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services in both official languages, according to the person's choice.</w:t>
      </w:r>
    </w:p>
    <w:p>
      <w:pPr>
        <w:pStyle w:val="Heading2"/>
      </w:pPr>
      <w:r>
        <w:t xml:space="preserve">6. Critical thinking and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Critically appraise practices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and update one's competencies through continuing education.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advancement of knowledge and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2026-10-22T14:04:22.257Z</dcterms:created>
  <dcterms:modified xsi:type="dcterms:W3CDTF">2026-10-22T14:04:22.257Z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