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FRANÇAIS</w:t>
      </w:r>
    </w:p>
    <w:p>
      <w:pPr>
        <w:pStyle w:val="Heading1"/>
      </w:pPr>
      <w:r>
        <w:t xml:space="preserve">Politique d'adhésion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Organisme : </w:t>
      </w:r>
      <w:r>
        <w:rPr>
          <w:color w:val="5B6675"/>
        </w:rPr>
        <w:t xml:space="preserve">Association professionnelle de criminologie du Nouveau-Brunswick (APCNB)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Adopté le : </w:t>
      </w:r>
      <w:r>
        <w:rPr>
          <w:color w:val="5B6675"/>
        </w:rPr>
        <w:t xml:space="preserve">2 juin 2026</w:t>
      </w:r>
      <w:r>
        <w:rPr>
          <w:b/>
          <w:bCs/>
          <w:color w:val="15263F"/>
        </w:rPr>
        <w:t xml:space="preserve">    Mise à jour : </w:t>
      </w:r>
      <w:r>
        <w:rPr>
          <w:color w:val="5B6675"/>
        </w:rPr>
        <w:t xml:space="preserve">25 septembre 2026</w:t>
      </w:r>
    </w:p>
    <w:p>
      <w:pPr>
        <w:pStyle w:val="Heading2"/>
      </w:pPr>
      <w:r>
        <w:t xml:space="preserve">1. Objet</w:t>
      </w:r>
    </w:p>
    <w:p>
      <w:pPr>
        <w:spacing w:after="140"/>
      </w:pPr>
      <w:r>
        <w:t xml:space="preserve">La présente politique définit les catégories de membres, les critères d'admission, les cotisations et les conditions de maintien de la qualité de membre.</w:t>
      </w:r>
    </w:p>
    <w:p>
      <w:pPr>
        <w:pStyle w:val="Heading2"/>
      </w:pPr>
      <w:r>
        <w:t xml:space="preserve">2. Catégories et critères d'admission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Catégorie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Critères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Cotisation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Membre régulier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Diplôme universitaire en criminologie ou domaine connexe et fonctions pertinentes.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125 $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Membre étudiant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Inscription à un programme reconnu de criminologie ou de justice pénale.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Gratuit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Membre associé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Professionnel d'une discipline connexe appuyant les objets de l'Association.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90 $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Membre honoraire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Personne nommée par le conseil pour sa contribution exceptionnelle.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Sans frais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/>
          <w:bCs/>
        </w:rPr>
        <w:t xml:space="preserve">Frais d'étude de dossier</w:t>
      </w:r>
      <w:r>
        <w:t xml:space="preserve"> : des frais de 50 $ (non remboursables) s'appliquent à l'admission des membres réguliers et associés, en plus de la cotisation; les membres étudiants en sont exemptés.</w:t>
      </w:r>
    </w:p>
    <w:p>
      <w:pPr>
        <w:spacing w:after="140"/>
      </w:pPr>
      <w:r>
        <w:rPr>
          <w:b/>
          <w:bCs/>
        </w:rPr>
        <w:t xml:space="preserve">Stage et expérience pratique</w:t>
      </w:r>
      <w:r>
        <w:t xml:space="preserve"> : pour les candidat·es en début de carrière, l'admission comme membre régulier requiert un stage supervisé d'au minimum 540 heures dans le domaine, ou l'équivalent reconnu par le comité d'admission.</w:t>
      </w:r>
    </w:p>
    <w:p>
      <w:pPr>
        <w:pStyle w:val="Heading2"/>
      </w:pPr>
      <w:r>
        <w:t xml:space="preserve">3. Processus d'admission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Soumission du formulaire d'adhésion et des pièces justificatives.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Examen du dossier par le comité d'admission.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Engagement écrit à respecter le Code de déontologie.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Paiement des frais d'étude de dossier (non remboursables) et de la cotisation, puis confirmation de l'adhésion.</w:t>
      </w:r>
    </w:p>
    <w:p>
      <w:pPr>
        <w:pStyle w:val="Heading2"/>
      </w:pPr>
      <w:r>
        <w:t xml:space="preserve">4. Droits et obligations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Tous les membres reçoivent les services dans la langue officielle de leur choix.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Seuls les membres réguliers en règle votent et sont éligibles.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Tout membre respecte les statuts, les politiques et le code de déontologie.</w:t>
      </w:r>
    </w:p>
    <w:p>
      <w:pPr>
        <w:pStyle w:val="Heading2"/>
      </w:pPr>
      <w:r>
        <w:t xml:space="preserve">5. Renouvellement</w:t>
      </w:r>
    </w:p>
    <w:p>
      <w:pPr>
        <w:spacing w:after="140"/>
      </w:pPr>
      <w:r>
        <w:t xml:space="preserve">L'adhésion se renouvelle annuellement. Un avis est transmis 30 jours avant l'échéance. Le non-paiement dans les 60 jours entraîne la suspension.</w:t>
      </w:r>
    </w:p>
    <w:p>
      <w:pPr>
        <w:pStyle w:val="Heading2"/>
      </w:pPr>
      <w:r>
        <w:t xml:space="preserve">6. Démission et réadmission</w:t>
      </w:r>
    </w:p>
    <w:p>
      <w:pPr>
        <w:spacing w:after="140"/>
      </w:pPr>
      <w:r>
        <w:t xml:space="preserve">Un membre peut démissionner par avis écrit. La réadmission est possible sur paiement des cotisations dues et examen du dossier.</w:t>
      </w:r>
    </w:p>
    <w:p>
      <w:pPr>
        <w:pStyle w:val="Heading2"/>
      </w:pPr>
      <w:r>
        <w:t xml:space="preserve">7. Protection des renseignements</w:t>
      </w:r>
    </w:p>
    <w:p>
      <w:pPr>
        <w:spacing w:after="140"/>
      </w:pPr>
      <w:r>
        <w:t xml:space="preserve">Les renseignements recueillis sont traités conformément à la Politique de confidentialité.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C.P. 0000, Fredericton (Nouveau-Brunswick) E3B 0A0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Politique d'adhésion / Membership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Politique d'adhésion / Membership Policy</dc:title>
  <dc:creator>APCNB / NBPAC</dc:creator>
  <cp:lastModifiedBy>Un-named</cp:lastModifiedBy>
  <cp:revision>1</cp:revision>
  <dcterms:created xsi:type="dcterms:W3CDTF">2026-10-22T14:04:21.267Z</dcterms:created>
  <dcterms:modified xsi:type="dcterms:W3CDTF">2026-10-22T14:04:21.267Z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