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08A3E"/>
          <w:sz w:val="18"/>
          <w:szCs w:val="18"/>
        </w:rPr>
        <w:t xml:space="preserve">FRANÇAIS</w:t>
      </w:r>
    </w:p>
    <w:p>
      <w:pPr>
        <w:pStyle w:val="Heading1"/>
      </w:pPr>
      <w:r>
        <w:t xml:space="preserve">Politique de formation continue</w:t>
      </w:r>
    </w:p>
    <w:p>
      <w:pPr>
        <w:pBdr>
          <w:bottom w:val="single" w:color="B08A3E" w:sz="12" w:space="6"/>
        </w:pBdr>
        <w:spacing w:after="40"/>
      </w:pPr>
    </w:p>
    <w:p>
      <w:pPr>
        <w:spacing w:after="20" w:before="60"/>
      </w:pPr>
      <w:r>
        <w:rPr>
          <w:b/>
          <w:bCs/>
          <w:color w:val="15263F"/>
        </w:rPr>
        <w:t xml:space="preserve">Organisme : </w:t>
      </w:r>
      <w:r>
        <w:rPr>
          <w:color w:val="5B6675"/>
        </w:rPr>
        <w:t xml:space="preserve">Association professionnelle de criminologie du Nouveau-Brunswick (APCNB)</w:t>
      </w:r>
    </w:p>
    <w:p>
      <w:pPr>
        <w:spacing w:after="220"/>
      </w:pPr>
      <w:r>
        <w:rPr>
          <w:b/>
          <w:bCs/>
          <w:color w:val="15263F"/>
        </w:rPr>
        <w:t xml:space="preserve">Version : </w:t>
      </w:r>
      <w:r>
        <w:rPr>
          <w:color w:val="5B6675"/>
        </w:rPr>
        <w:t xml:space="preserve">1.0    </w:t>
      </w:r>
      <w:r>
        <w:rPr>
          <w:b/>
          <w:bCs/>
          <w:color w:val="15263F"/>
        </w:rPr>
        <w:t xml:space="preserve">Adopté le : </w:t>
      </w:r>
      <w:r>
        <w:rPr>
          <w:color w:val="5B6675"/>
        </w:rPr>
        <w:t xml:space="preserve">2 juin 2026</w:t>
      </w:r>
      <w:r>
        <w:rPr>
          <w:b/>
          <w:bCs/>
          <w:color w:val="15263F"/>
        </w:rPr>
        <w:t xml:space="preserve">    Mise à jour : </w:t>
      </w:r>
      <w:r>
        <w:rPr>
          <w:color w:val="5B6675"/>
        </w:rPr>
        <w:t xml:space="preserve">25 septembre 2026</w:t>
      </w:r>
    </w:p>
    <w:p>
      <w:pPr>
        <w:spacing w:after="200"/>
      </w:pPr>
      <w:r>
        <w:rPr>
          <w:i/>
          <w:iCs/>
          <w:color w:val="5B6675"/>
          <w:sz w:val="24"/>
          <w:szCs w:val="24"/>
        </w:rPr>
        <w:t xml:space="preserve">La formation continue garantit que les membres maintiennent et développent leurs compétences au profit du public et de la profession.</w:t>
      </w:r>
    </w:p>
    <w:p>
      <w:pPr>
        <w:pStyle w:val="Heading2"/>
      </w:pPr>
      <w:r>
        <w:t xml:space="preserve">1. Exigence annuelle</w:t>
      </w:r>
    </w:p>
    <w:p>
      <w:pPr>
        <w:spacing w:after="140"/>
      </w:pPr>
      <w:r>
        <w:t xml:space="preserve">Chaque membre régulier doit accumuler au moins </w:t>
      </w:r>
      <w:r>
        <w:rPr>
          <w:b/>
          <w:bCs/>
        </w:rPr>
        <w:t xml:space="preserve">20 unités de formation continue (UFC)</w:t>
      </w:r>
      <w:r>
        <w:t xml:space="preserve"> par année, dont au moins 3 portant sur l'éthique professionnelle. Une UFC équivaut à une heure d'activité reconnue.</w:t>
      </w:r>
    </w:p>
    <w:p>
      <w:pPr>
        <w:pStyle w:val="Heading2"/>
      </w:pPr>
      <w:r>
        <w:t xml:space="preserve">2. Activités admissibles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26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 d'activité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26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Plafond annuel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Cours, ateliers et conférences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 UFC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Formation en ligne reconnue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UFC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Présentation ou enseignement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 UFC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Publication ou recherche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 UFC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Participation à un comité professionnel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UFC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 Déclaration et preuves</w:t>
      </w:r>
    </w:p>
    <w:p>
      <w:pPr>
        <w:spacing w:after="140"/>
      </w:pPr>
      <w:r>
        <w:t xml:space="preserve">Les membres consignent leurs activités et conservent les pièces justificatives pendant trois ans. Une déclaration annuelle est soumise au renouvellement.</w:t>
      </w:r>
    </w:p>
    <w:p>
      <w:pPr>
        <w:pStyle w:val="Heading2"/>
      </w:pPr>
      <w:r>
        <w:t xml:space="preserve">4. Vérification</w:t>
      </w:r>
    </w:p>
    <w:p>
      <w:pPr>
        <w:spacing w:after="140"/>
      </w:pPr>
      <w:r>
        <w:t xml:space="preserve">Le comité de formation continue peut vérifier de façon aléatoire les déclarations. Le défaut de satisfaire à l'exigence peut entraîner un plan de redressement ou la suspension.</w:t>
      </w:r>
    </w:p>
    <w:p>
      <w:pPr>
        <w:pStyle w:val="Heading2"/>
      </w:pPr>
      <w:r>
        <w:t xml:space="preserve">5. Accès bilingue</w:t>
      </w:r>
    </w:p>
    <w:p>
      <w:pPr>
        <w:spacing w:after="140"/>
      </w:pPr>
      <w:r>
        <w:t xml:space="preserve">L'Association s'efforce d'offrir ou de reconnaître des activités en français et en anglais, afin que tous les membres satisfassent à leurs exigences dans la langue de leur choix.</w:t>
      </w:r>
    </w:p>
    <w:p>
      <w:pPr>
        <w:pStyle w:val="Heading2"/>
      </w:pPr>
      <w:r>
        <w:t xml:space="preserve">6. Exemptions</w:t>
      </w:r>
    </w:p>
    <w:p>
      <w:pPr>
        <w:spacing w:after="140"/>
      </w:pPr>
      <w:r>
        <w:t xml:space="preserve">Des exemptions partielles peuvent être accordées pour congé parental, maladie prolongée ou autres motifs valables, sur demande au comité.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6"/>
      </w:pBdr>
      <w:jc w:val="center"/>
    </w:pPr>
    <w:r>
      <w:rPr>
        <w:color w:val="5B6675"/>
        <w:sz w:val="15"/>
        <w:szCs w:val="15"/>
      </w:rPr>
      <w:t xml:space="preserve">C.P. 0000, Fredericton (Nouveau-Brunswick) E3B 0A0   ·   info@apcnb-nbpac.ca   ·   Tél. 506-381-9495   ·   </w:t>
    </w:r>
    <w:r>
      <w:rPr>
        <w:color w:val="5B6675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B6675"/>
        <w:sz w:val="15"/>
        <w:szCs w:val="15"/>
      </w:rPr>
      <w:t xml:space="preserve">/</w:t>
    </w:r>
    <w:r>
      <w:rPr>
        <w:color w:val="5B6675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 w:space="6"/>
      </w:pBdr>
      <w:tabs>
        <w:tab w:val="right" w:pos="9360"/>
      </w:tabs>
      <w:spacing w:after="60"/>
    </w:pPr>
    <w:r>
      <w:drawing>
        <wp:inline distT="0" distB="0" distL="0" distR="0">
          <wp:extent cx="285750" cy="285750"/>
          <wp:effectExtent t="0" r="0" b="0" l="0"/>
          <wp:docPr id="1" name="logo" descr="Sceau" title="APCN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5263F"/>
        <w:sz w:val="18"/>
        <w:szCs w:val="18"/>
      </w:rPr>
      <w:t xml:space="preserve">  APCNB · NBPAC</w:t>
    </w:r>
    <w:r>
      <w:rPr>
        <w:color w:val="5B6675"/>
        <w:sz w:val="16"/>
        <w:szCs w:val="16"/>
      </w:rPr>
      <w:t xml:space="preserve">	Formation continue / CPD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3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Georgia" w:cs="Georgia" w:eastAsia="Georgia" w:hAnsi="Georgia"/>
      <w:b/>
      <w:bCs/>
      <w:color w:val="15263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Georgia" w:cs="Georgia" w:eastAsia="Georgia" w:hAnsi="Georgia"/>
      <w:b/>
      <w:bCs/>
      <w:color w:val="15263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5251f961befd58c6243bb213495de072eee0e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Politique de formation continue / Continuing Professional Development Policy</dc:title>
  <dc:creator>APCNB / NBPAC</dc:creator>
  <cp:lastModifiedBy>Un-named</cp:lastModifiedBy>
  <cp:revision>1</cp:revision>
  <dcterms:created xsi:type="dcterms:W3CDTF">2026-10-22T14:04:21.302Z</dcterms:created>
  <dcterms:modified xsi:type="dcterms:W3CDTF">2026-10-22T14:04:21.302Z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