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Membership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pStyle w:val="Heading2"/>
      </w:pPr>
      <w:r>
        <w:t xml:space="preserve">1. Purpose</w:t>
      </w:r>
    </w:p>
    <w:p>
      <w:pPr>
        <w:spacing w:after="140"/>
      </w:pPr>
      <w:r>
        <w:t xml:space="preserve">This policy defines the membership categories, admission criteria, dues and conditions for maintaining membership.</w:t>
      </w:r>
    </w:p>
    <w:p>
      <w:pPr>
        <w:pStyle w:val="Heading2"/>
      </w:pPr>
      <w:r>
        <w:t xml:space="preserve">2. Categories and Admission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University degree in criminology or a related field and relevant duties.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Enrolment in a recognized criminology or criminal-justice program.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Associate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in a related discipline supporting the Association's objects.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Honorary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appointed by the Board for an exceptional contribution.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charge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Application review fee</w:t>
      </w:r>
      <w:r>
        <w:t xml:space="preserve">: a non-refundable fee of $50 applies to the admission of regular and associate members, in addition to dues; student members are exempt.</w:t>
      </w:r>
    </w:p>
    <w:p>
      <w:pPr>
        <w:spacing w:after="140"/>
      </w:pPr>
      <w:r>
        <w:rPr>
          <w:b/>
          <w:bCs/>
        </w:rPr>
        <w:t xml:space="preserve">Internship and practical experience</w:t>
      </w:r>
      <w:r>
        <w:t xml:space="preserve">: for early-career applicants, admission as a regular member requires a supervised internship of at least 540 hours in the field, or an equivalent recognized by the admissions committee.</w:t>
      </w:r>
    </w:p>
    <w:p>
      <w:pPr>
        <w:pStyle w:val="Heading2"/>
      </w:pPr>
      <w:r>
        <w:t xml:space="preserve">3. Admission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 of the membership form and supporting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of the file by the admissions committee.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undertaking to abide by the Code of Ethics.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of the non-refundable application review fee and the dues, then confirmation of membership.</w:t>
      </w:r>
    </w:p>
    <w:p>
      <w:pPr>
        <w:pStyle w:val="Heading2"/>
      </w:pPr>
      <w:r>
        <w:t xml:space="preserve">4. Rights and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members receive services in the official language of their choice.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regular members in good standing vote and stand for election.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member complies with the bylaws, policies and code of ethics.</w:t>
      </w:r>
    </w:p>
    <w:p>
      <w:pPr>
        <w:pStyle w:val="Heading2"/>
      </w:pPr>
      <w:r>
        <w:t xml:space="preserve">5. Renewal</w:t>
      </w:r>
    </w:p>
    <w:p>
      <w:pPr>
        <w:spacing w:after="140"/>
      </w:pPr>
      <w:r>
        <w:t xml:space="preserve">Membership renews annually. Notice is sent 30 days before expiry. Non-payment within 60 days results in suspension.</w:t>
      </w:r>
    </w:p>
    <w:p>
      <w:pPr>
        <w:pStyle w:val="Heading2"/>
      </w:pPr>
      <w:r>
        <w:t xml:space="preserve">6. Resignation and Readmission</w:t>
      </w:r>
    </w:p>
    <w:p>
      <w:pPr>
        <w:spacing w:after="140"/>
      </w:pPr>
      <w:r>
        <w:t xml:space="preserve">A member may resign by written notice. Readmission is possible upon payment of dues owed and review of the file.</w:t>
      </w:r>
    </w:p>
    <w:p>
      <w:pPr>
        <w:pStyle w:val="Heading2"/>
      </w:pPr>
      <w:r>
        <w:t xml:space="preserve">7. Protection of Information</w:t>
      </w:r>
    </w:p>
    <w:p>
      <w:pPr>
        <w:spacing w:after="140"/>
      </w:pPr>
      <w:r>
        <w:t xml:space="preserve">Information collected is handled in accordance with the Privacy Policy.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Politique d'adhésion / Membership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d'adhésion / Membership Policy</dc:title>
  <dc:creator>APCNB / NBPAC</dc:creator>
  <cp:lastModifiedBy>Un-named</cp:lastModifiedBy>
  <cp:revision>1</cp:revision>
  <dcterms:created xsi:type="dcterms:W3CDTF">2026-10-29T08:14:59.542Z</dcterms:created>
  <dcterms:modified xsi:type="dcterms:W3CDTF">2026-10-29T08:14:59.542Z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