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Grille de compétences du criminologue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La présente grille décrit les compétences attendues du criminologue au Nouveau-Brunswick. Elle appuie l'admission, la formation continue et la demande de reconnaissance professionnelle.</w:t>
      </w:r>
    </w:p>
    <w:p>
      <w:pPr>
        <w:pStyle w:val="Heading2"/>
      </w:pPr>
      <w:r>
        <w:t xml:space="preserve">1. Savoirs fondamentaux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Connaître les théories criminologiques et les facteurs de la criminalité et de la victimisation.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Comprendre le système de justice pénale, le droit applicable et les institutions correctionnelles.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Maîtriser les méthodes de recherche et l'analyse de données en sciences sociales.</w:t>
      </w:r>
    </w:p>
    <w:p>
      <w:pPr>
        <w:pStyle w:val="Heading2"/>
      </w:pPr>
      <w:r>
        <w:t xml:space="preserve">2. Évaluation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Évaluer le risque et les besoins criminogènes à l'aide d'outils structurés ou actuariels.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Analyser une situation et formuler des conclusions fondées sur des données probantes.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Reconnaître les limites de son évaluation et s'abstenir de tout diagnostic clinique réservé.</w:t>
      </w:r>
    </w:p>
    <w:p>
      <w:pPr>
        <w:pStyle w:val="Heading2"/>
      </w:pPr>
      <w:r>
        <w:t xml:space="preserve">3. Intervention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Élaborer, mettre en œuvre et évaluer des plans et des programmes d'intervention.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Soutenir la réinsertion sociale et accompagner les personnes victimes (soutien non clinique).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Animer des processus de justice réparatrice et de médiation.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Concevoir des stratégies de prévention de la criminalité et de sécurité communautaire.</w:t>
      </w:r>
    </w:p>
    <w:p>
      <w:pPr>
        <w:pStyle w:val="Heading2"/>
      </w:pPr>
      <w:r>
        <w:t xml:space="preserve">4. Éthique et professionnalisme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Respecter le code de déontologie et les limites de son champ d'exercice.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Diriger la personne vers la profession compétente au besoin (devoir de référence).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Protéger la confidentialité et gérer les conflits d'intérêts.</w:t>
      </w:r>
    </w:p>
    <w:p>
      <w:pPr>
        <w:pStyle w:val="Heading2"/>
      </w:pPr>
      <w:r>
        <w:t xml:space="preserve">5. Communication et collaboration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Rédiger des rapports clairs et témoigner devant les tribunaux dans les limites de sa compétence.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Travailler en interdisciplinarité avec les autres professions.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Offrir ses services dans les deux langues officielles, selon le choix de la personne.</w:t>
      </w:r>
    </w:p>
    <w:p>
      <w:pPr>
        <w:pStyle w:val="Heading2"/>
      </w:pPr>
      <w:r>
        <w:t xml:space="preserve">6. Pensée critique et perfectionnement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Évaluer de façon critique les pratiques et les programmes.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Maintenir et actualiser ses compétences par la formation continue.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Contribuer à l'avancement des connaissances et des politiques.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Criminologist competency framework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This framework describes the competencies expected of the criminologist in New Brunswick. It supports admission, continuing education and the professional-recognition request.</w:t>
      </w:r>
    </w:p>
    <w:p>
      <w:pPr>
        <w:pStyle w:val="Heading2"/>
      </w:pPr>
      <w:r>
        <w:t xml:space="preserve">1. Foundational knowledge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 criminological theories and the factors behind crime and victimization.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Understand the criminal-justice system, applicable law and correctional institutions.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Master research methods and data analysis in the social sciences.</w:t>
      </w:r>
    </w:p>
    <w:p>
      <w:pPr>
        <w:pStyle w:val="Heading2"/>
      </w:pPr>
      <w:r>
        <w:t xml:space="preserve">2. Assessment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Assess criminogenic risk and needs using structured or actuarial tools.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Analyze a situation and draw evidence-based conclusions.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Recognize the limits of one's assessment and refrain from any reserved clinical diagnosis.</w:t>
      </w:r>
    </w:p>
    <w:p>
      <w:pPr>
        <w:pStyle w:val="Heading2"/>
      </w:pPr>
      <w:r>
        <w:t xml:space="preserve">3. Intervention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Develop, implement and evaluate intervention plans and programs.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Support social reintegration and accompany victims (non-clinical support).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Facilitate restorative-justice and mediation processes.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Design crime-prevention and community-safety strategies.</w:t>
      </w:r>
    </w:p>
    <w:p>
      <w:pPr>
        <w:pStyle w:val="Heading2"/>
      </w:pPr>
      <w:r>
        <w:t xml:space="preserve">4. Ethics and professionalism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Comply with the code of ethics and the limits of one's scope of practice.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Refer the person to the competent profession when needed (duty of referral).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Protect confidentiality and manage conflicts of interest.</w:t>
      </w:r>
    </w:p>
    <w:p>
      <w:pPr>
        <w:pStyle w:val="Heading2"/>
      </w:pPr>
      <w:r>
        <w:t xml:space="preserve">5. Communication and collaboration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 clear reports and testify before courts within the limits of one's competence.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 interdisciplinarily with other professions.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Provide services in both official languages, according to the person's choice.</w:t>
      </w:r>
    </w:p>
    <w:p>
      <w:pPr>
        <w:pStyle w:val="Heading2"/>
      </w:pPr>
      <w:r>
        <w:t xml:space="preserve">6. Critical thinking and development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Critically appraise practices and programs.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Maintain and update one's competencies through continuing education.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Contribute to the advancement of knowledge and policy.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Grille de compétences / Competency framework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Grille de compétences du criminologue / Criminologist competency framework</dc:title>
  <dc:creator>APCNB / NBPAC</dc:creator>
  <cp:lastModifiedBy>Un-named</cp:lastModifiedBy>
  <cp:revision>1</cp:revision>
  <dcterms:created xsi:type="dcterms:W3CDTF">2026-09-19T14:42:17.625Z</dcterms:created>
  <dcterms:modified xsi:type="dcterms:W3CDTF">2026-09-19T14:42:17.625Z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