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/>
      </w:pPr>
    </w:p>
    <w:p>
      <w:pPr>
        <w:spacing w:after="80"/>
      </w:pPr>
      <w:r>
        <w:rPr>
          <w:color w:val="1B2330"/>
          <w:sz w:val="22"/>
          <w:szCs w:val="22"/>
        </w:rPr>
        <w:t xml:space="preserve">June 2, 2026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Honourable Minister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Department of Justice and Public Safety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Fredericton,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Re: Recognizing and protecting the criminologist title in New Brunswick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Dear Minister,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On behalf of the New Brunswick Professional Association of Criminology (NBPAC), I am honoured to submit the attached brief in support of recognizing and protecting the title of “criminologist” in our province.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 New Brunswick, this title is protected by no law: anyone may claim it, with no recognized training or ethical oversight. Yet criminologists work with vulnerable people and inform important justice decisions. Protection of the public calls for clear oversight.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NBPAC already has bylaws, a code of ethics, a scope-of-practice standard and a complaints-handling process. Our initiative is meant to complement the professions already regulated — social work, psychology and counselling therapy — not to compete with them.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We would be honoured to meet with you to present our proposal and explore possible paths, including a title-protection bill. Our services and oversight are offered in both official languages.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Please accept, Minister, the expression of our high regard.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 </w:t>
      </w:r>
    </w:p>
    <w:p>
      <w:pPr>
        <w:spacing w:after="80"/>
      </w:pPr>
      <w:r>
        <w:rPr>
          <w:color w:val="1B2330"/>
          <w:sz w:val="22"/>
          <w:szCs w:val="22"/>
        </w:rPr>
        <w:t xml:space="preserve">______________________________</w:t>
      </w:r>
    </w:p>
    <w:p>
      <w:pPr>
        <w:spacing w:after="80"/>
      </w:pPr>
      <w:r>
        <w:rPr>
          <w:color w:val="1B2330"/>
          <w:sz w:val="22"/>
          <w:szCs w:val="22"/>
        </w:rPr>
        <w:t xml:space="preserve">The President</w:t>
      </w:r>
    </w:p>
    <w:p>
      <w:pPr>
        <w:spacing w:after="80"/>
      </w:pPr>
      <w:r>
        <w:rPr>
          <w:color w:val="1B2330"/>
          <w:sz w:val="22"/>
          <w:szCs w:val="22"/>
        </w:rPr>
        <w:t xml:space="preserve">New Brunswick Professional Association of Criminology</w:t>
      </w:r>
    </w:p>
    <w:p>
      <w:pPr>
        <w:spacing w:after="80"/>
      </w:pPr>
      <w:r>
        <w:rPr>
          <w:color w:val="1B2330"/>
          <w:sz w:val="22"/>
          <w:szCs w:val="22"/>
        </w:rPr>
        <w:t xml:space="preserve">info@apcnb-nbpac.ca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www.apcnb-nbpac.ca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360"/>
      </w:tabs>
    </w:pPr>
    <w:r>
      <w:drawing>
        <wp:inline distT="0" distB="0" distL="0" distR="0">
          <wp:extent cx="609600" cy="60960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20"/>
        <w:szCs w:val="20"/>
      </w:rPr>
      <w:t xml:space="preserve">	Association professionnelle de criminologie du Nouveau-Brunswick</w:t>
    </w:r>
  </w:p>
  <w:p>
    <w:pPr>
      <w:pBdr>
        <w:bottom w:val="single" w:color="B08A3E" w:sz="10" w:space="8"/>
      </w:pBdr>
      <w:spacing w:after="40"/>
      <w:jc w:val="right"/>
    </w:pPr>
    <w:r>
      <w:rPr>
        <w:i/>
        <w:iCs/>
        <w:color w:val="5B6675"/>
        <w:sz w:val="18"/>
        <w:szCs w:val="18"/>
      </w:rPr>
      <w:t xml:space="preserve">New Brunswick Professional Association of Criminology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Papier à en-tête / Letterhead</dc:title>
  <dc:creator>APCNB / NBPAC</dc:creator>
  <cp:lastModifiedBy>Un-named</cp:lastModifiedBy>
  <cp:revision>1</cp:revision>
  <dcterms:created xsi:type="dcterms:W3CDTF">2026-10-29T08:04:35.206Z</dcterms:created>
  <dcterms:modified xsi:type="dcterms:W3CDTF">2026-10-29T08:04:35.206Z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