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ENGLISH</w:t>
      </w:r>
    </w:p>
    <w:p>
      <w:pPr>
        <w:pStyle w:val="Heading1"/>
      </w:pPr>
      <w:r>
        <w:t xml:space="preserve">Criminologist competency framework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Organization : </w:t>
      </w:r>
      <w:r>
        <w:rPr>
          <w:color w:val="5B6675"/>
        </w:rPr>
        <w:t xml:space="preserve">New Brunswick Professional Association of Criminology (NBPAC)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Adopted : </w:t>
      </w:r>
      <w:r>
        <w:rPr>
          <w:color w:val="5B6675"/>
        </w:rPr>
        <w:t xml:space="preserve">June 2, 2026</w:t>
      </w:r>
      <w:r>
        <w:rPr>
          <w:b/>
          <w:bCs/>
          <w:color w:val="15263F"/>
        </w:rPr>
        <w:t xml:space="preserve">    Updated : </w:t>
      </w:r>
      <w:r>
        <w:rPr>
          <w:color w:val="5B6675"/>
        </w:rPr>
        <w:t xml:space="preserve">October 29,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This framework describes the competencies expected of the criminologist in New Brunswick. It supports admission, continuing education and the professional-recognition request.</w:t>
      </w:r>
    </w:p>
    <w:p>
      <w:pPr>
        <w:pStyle w:val="Heading2"/>
      </w:pPr>
      <w:r>
        <w:t xml:space="preserve">1. Foundational knowledge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 criminological theories and the factors behind crime and victimization.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Understand the criminal-justice system, applicable law and correctional institutions.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Master research methods and data analysis in the social sciences.</w:t>
      </w:r>
    </w:p>
    <w:p>
      <w:pPr>
        <w:pStyle w:val="Heading2"/>
      </w:pPr>
      <w:r>
        <w:t xml:space="preserve">2. Assessment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Assess criminogenic risk and needs using structured or actuarial tools.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Analyze a situation and draw evidence-based conclusions.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Recognize the limits of one's assessment and refrain from any reserved clinical diagnosis.</w:t>
      </w:r>
    </w:p>
    <w:p>
      <w:pPr>
        <w:pStyle w:val="Heading2"/>
      </w:pPr>
      <w:r>
        <w:t xml:space="preserve">3. Intervention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Develop, implement and evaluate intervention plans and programs.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social reintegration and accompany victims (non-clinical support).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Facilitate restorative-justice and mediation processes.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crime-prevention and community-safety strategies.</w:t>
      </w:r>
    </w:p>
    <w:p>
      <w:pPr>
        <w:pStyle w:val="Heading2"/>
      </w:pPr>
      <w:r>
        <w:t xml:space="preserve">4. Ethics and professionalism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Comply with the code of ethics and the limits of one's scope of practice.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 the person to the competent profession when needed (duty of referral).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Protect confidentiality and manage conflicts of interest.</w:t>
      </w:r>
    </w:p>
    <w:p>
      <w:pPr>
        <w:pStyle w:val="Heading2"/>
      </w:pPr>
      <w:r>
        <w:t xml:space="preserve">5. Communication and collaboration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clear reports and testify before courts within the limits of one's competence.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 interdisciplinarily with other professions.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 services in both official languages, according to the person's choice.</w:t>
      </w:r>
    </w:p>
    <w:p>
      <w:pPr>
        <w:pStyle w:val="Heading2"/>
      </w:pPr>
      <w:r>
        <w:t xml:space="preserve">6. Critical thinking and development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Critically appraise practices and programs.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Maintain and update one's competencies through continuing education.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Contribute to the advancement of knowledge and policy.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Grille de compétences / Competency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Grille de compétences du criminologue / Criminologist competency framework</dc:title>
  <dc:creator>APCNB / NBPAC</dc:creator>
  <cp:lastModifiedBy>Un-named</cp:lastModifiedBy>
  <cp:revision>1</cp:revision>
  <dcterms:created xsi:type="dcterms:W3CDTF">2026-10-29T08:04:34.810Z</dcterms:created>
  <dcterms:modified xsi:type="dcterms:W3CDTF">2026-10-29T08:04:34.810Z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