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ENGLISH</w:t>
      </w:r>
    </w:p>
    <w:p>
      <w:pPr>
        <w:pStyle w:val="Heading1"/>
      </w:pPr>
      <w:r>
        <w:t xml:space="preserve">Membership — detailed guide</w:t>
      </w:r>
    </w:p>
    <w:p>
      <w:pPr>
        <w:pBdr>
          <w:bottom w:val="single" w:color="B08A3E" w:sz="12" w:space="6"/>
        </w:pBdr>
        <w:spacing w:after="40"/>
      </w:pPr>
    </w:p>
    <w:p>
      <w:pPr>
        <w:spacing w:after="20" w:before="60"/>
      </w:pPr>
      <w:r>
        <w:rPr>
          <w:b/>
          <w:bCs/>
          <w:color w:val="15263F"/>
        </w:rPr>
        <w:t xml:space="preserve">Organization : </w:t>
      </w:r>
      <w:r>
        <w:rPr>
          <w:color w:val="5B6675"/>
        </w:rPr>
        <w:t xml:space="preserve">New Brunswick Professional Association of Criminology (NBPAC)</w:t>
      </w:r>
    </w:p>
    <w:p>
      <w:pPr>
        <w:spacing w:after="220"/>
      </w:pPr>
      <w:r>
        <w:rPr>
          <w:b/>
          <w:bCs/>
          <w:color w:val="15263F"/>
        </w:rPr>
        <w:t xml:space="preserve">Version : </w:t>
      </w:r>
      <w:r>
        <w:rPr>
          <w:color w:val="5B6675"/>
        </w:rPr>
        <w:t xml:space="preserve">1.0    </w:t>
      </w:r>
      <w:r>
        <w:rPr>
          <w:b/>
          <w:bCs/>
          <w:color w:val="15263F"/>
        </w:rPr>
        <w:t xml:space="preserve">Adopted : </w:t>
      </w:r>
      <w:r>
        <w:rPr>
          <w:color w:val="5B6675"/>
        </w:rPr>
        <w:t xml:space="preserve">June 2, 2026</w:t>
      </w:r>
      <w:r>
        <w:rPr>
          <w:b/>
          <w:bCs/>
          <w:color w:val="15263F"/>
        </w:rPr>
        <w:t xml:space="preserve">    Updated : </w:t>
      </w:r>
      <w:r>
        <w:rPr>
          <w:color w:val="5B6675"/>
        </w:rPr>
        <w:t xml:space="preserve">October 29, 2026</w:t>
      </w:r>
    </w:p>
    <w:p>
      <w:pPr>
        <w:spacing w:after="200"/>
      </w:pPr>
      <w:r>
        <w:rPr>
          <w:i/>
          <w:iCs/>
          <w:color w:val="5B6675"/>
          <w:sz w:val="24"/>
          <w:szCs w:val="24"/>
        </w:rPr>
        <w:t xml:space="preserve">Everything you need to know to become an NBPAC member.</w:t>
      </w:r>
    </w:p>
    <w:p>
      <w:pPr>
        <w:pStyle w:val="Heading2"/>
      </w:pPr>
      <w:r>
        <w:t xml:space="preserve">Categories and dues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Category</w:t>
            </w:r>
          </w:p>
        </w:tc>
        <w:tc>
          <w:tcPr>
            <w:tcW w:type="dxa" w:w="312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Eligibility</w:t>
            </w:r>
          </w:p>
        </w:tc>
        <w:tc>
          <w:tcPr>
            <w:tcW w:type="dxa" w:w="312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Dues</w:t>
            </w:r>
          </w:p>
        </w:tc>
      </w:tr>
      <w:tr>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Regular member</w:t>
            </w:r>
          </w:p>
        </w:tc>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University degree in criminology or a related field, working in the field</w:t>
            </w:r>
          </w:p>
        </w:tc>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$125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Student member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Enrolment in a recognized criminology or criminal-justice program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Free</w:t>
            </w:r>
          </w:p>
        </w:tc>
      </w:tr>
      <w:tr>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Associate member</w:t>
            </w:r>
          </w:p>
        </w:tc>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Professional in a related discipline supporting our objectives</w:t>
            </w:r>
          </w:p>
        </w:tc>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$90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Honorary member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Person appointed by the Board for an exceptional contribution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charge</w:t>
            </w:r>
          </w:p>
        </w:tc>
      </w:tr>
    </w:tbl>
    <w:p>
      <w:pPr>
        <w:spacing w:after="120"/>
      </w:pPr>
    </w:p>
    <w:p>
      <w:pPr>
        <w:pStyle w:val="Heading2"/>
      </w:pPr>
      <w:r>
        <w:t xml:space="preserve">Admission criteria</w:t>
      </w:r>
    </w:p>
    <w:p>
      <w:pPr>
        <w:pStyle w:val="ListParagraph"/>
        <w:numPr>
          <w:ilvl w:val="0"/>
          <w:numId w:val="2"/>
        </w:numPr>
        <w:spacing w:after="60"/>
      </w:pPr>
      <w:r>
        <w:t xml:space="preserve">Relevant degree from a recognized institution (or current enrolment for student members).</w:t>
      </w:r>
    </w:p>
    <w:p>
      <w:pPr>
        <w:pStyle w:val="ListParagraph"/>
        <w:numPr>
          <w:ilvl w:val="0"/>
          <w:numId w:val="2"/>
        </w:numPr>
        <w:spacing w:after="60"/>
      </w:pPr>
      <w:r>
        <w:t xml:space="preserve">Written undertaking to abide by the Code of Ethics and bylaws.</w:t>
      </w:r>
    </w:p>
    <w:p>
      <w:pPr>
        <w:pStyle w:val="ListParagraph"/>
        <w:numPr>
          <w:ilvl w:val="0"/>
          <w:numId w:val="2"/>
        </w:numPr>
        <w:spacing w:after="60"/>
      </w:pPr>
      <w:r>
        <w:t xml:space="preserve">Accurate information and supporting documents.</w:t>
      </w:r>
    </w:p>
    <w:p>
      <w:pPr>
        <w:pStyle w:val="ListParagraph"/>
        <w:numPr>
          <w:ilvl w:val="0"/>
          <w:numId w:val="2"/>
        </w:numPr>
        <w:spacing w:after="60"/>
      </w:pPr>
      <w:r>
        <w:t xml:space="preserve">Payment of the non-refundable application review fee and the annual dues.</w:t>
      </w:r>
    </w:p>
    <w:p>
      <w:pPr>
        <w:pStyle w:val="Heading2"/>
      </w:pPr>
      <w:r>
        <w:t xml:space="preserve">Equivalency for out-of-province credentials</w:t>
      </w:r>
    </w:p>
    <w:p>
      <w:pPr>
        <w:spacing w:after="140"/>
      </w:pPr>
      <w:r>
        <w:t xml:space="preserve">Holders of a degree earned outside New Brunswick may request recognition of equivalency. The admissions committee assesses the program content, the number of criminology credits and relevant experience. Bridging coursework may be required.</w:t>
      </w:r>
    </w:p>
    <w:p>
      <w:pPr>
        <w:pStyle w:val="Heading2"/>
      </w:pPr>
      <w:r>
        <w:t xml:space="preserve">Internship and practical experience</w:t>
      </w:r>
    </w:p>
    <w:p>
      <w:pPr>
        <w:spacing w:after="140"/>
      </w:pPr>
      <w:r>
        <w:t xml:space="preserve">For early-career applicants, a supervised internship or guided practical experience is part of the admission requirements. The internship must total at least 540 hours in the field, or an equivalent recognized by the admissions committee.</w:t>
      </w:r>
    </w:p>
    <w:p>
      <w:pPr>
        <w:pStyle w:val="Heading2"/>
      </w:pPr>
      <w:r>
        <w:t xml:space="preserve">Language requirements</w:t>
      </w:r>
    </w:p>
    <w:p>
      <w:pPr>
        <w:spacing w:after="140"/>
      </w:pPr>
      <w:r>
        <w:t xml:space="preserve">Members provide services in the official language chosen by the person (French or English) wherever possible. Proficiency in both languages is not required to join.</w:t>
      </w:r>
    </w:p>
    <w:p>
      <w:pPr>
        <w:pStyle w:val="Heading2"/>
      </w:pPr>
      <w:r>
        <w:t xml:space="preserve">How to join</w:t>
      </w:r>
    </w:p>
    <w:p>
      <w:pPr>
        <w:pStyle w:val="ListParagraph"/>
        <w:numPr>
          <w:ilvl w:val="0"/>
          <w:numId w:val="3"/>
        </w:numPr>
        <w:spacing w:after="60"/>
      </w:pPr>
      <w:r>
        <w:t xml:space="preserve">Complete the membership form and gather supporting documents.</w:t>
      </w:r>
    </w:p>
    <w:p>
      <w:pPr>
        <w:pStyle w:val="ListParagraph"/>
        <w:numPr>
          <w:ilvl w:val="0"/>
          <w:numId w:val="3"/>
        </w:numPr>
        <w:spacing w:after="60"/>
      </w:pPr>
      <w:r>
        <w:t xml:space="preserve">Submit the file to the secretariat.</w:t>
      </w:r>
    </w:p>
    <w:p>
      <w:pPr>
        <w:pStyle w:val="ListParagraph"/>
        <w:numPr>
          <w:ilvl w:val="0"/>
          <w:numId w:val="3"/>
        </w:numPr>
        <w:spacing w:after="60"/>
      </w:pPr>
      <w:r>
        <w:t xml:space="preserve">Review by the admissions committee (and equivalency, if applicable).</w:t>
      </w:r>
    </w:p>
    <w:p>
      <w:pPr>
        <w:pStyle w:val="ListParagraph"/>
        <w:numPr>
          <w:ilvl w:val="0"/>
          <w:numId w:val="3"/>
        </w:numPr>
        <w:spacing w:after="60"/>
      </w:pPr>
      <w:r>
        <w:t xml:space="preserve">Accept the ethical undertaking and pay the dues.</w:t>
      </w:r>
    </w:p>
    <w:p>
      <w:pPr>
        <w:pStyle w:val="ListParagraph"/>
        <w:numPr>
          <w:ilvl w:val="0"/>
          <w:numId w:val="3"/>
        </w:numPr>
        <w:spacing w:after="60"/>
      </w:pPr>
      <w:r>
        <w:t xml:space="preserve">Receive membership confirmation and the certificate.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Adhésion — guide / Membership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Adhésion — guide détaillé / Membership — detailed guide</dc:title>
  <dc:creator>APCNB / NBPAC</dc:creator>
  <cp:lastModifiedBy>Un-named</cp:lastModifiedBy>
  <cp:revision>1</cp:revision>
  <dcterms:created xsi:type="dcterms:W3CDTF">2026-10-29T08:04:34.870Z</dcterms:created>
  <dcterms:modified xsi:type="dcterms:W3CDTF">2026-10-29T08:04:34.870Z</dcterms:modified>
</cp:coreProperties>
</file>

<file path=docProps/custom.xml><?xml version="1.0" encoding="utf-8"?>
<Properties xmlns="http://schemas.openxmlformats.org/officeDocument/2006/custom-properties" xmlns:vt="http://schemas.openxmlformats.org/officeDocument/2006/docPropsVTypes"/>
</file>