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ENGLISH</w:t>
      </w:r>
    </w:p>
    <w:p>
      <w:pPr>
        <w:pStyle w:val="Heading1"/>
      </w:pPr>
      <w:r>
        <w:t xml:space="preserve">Code of Ethics</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This code sets out the values, principles and ethical obligations of every NBPAC member. It is intended to protect the public, preserve trust in the profession, guide the conduct of criminologists and provide a framework for assessing an ethical breach.</w:t>
      </w:r>
    </w:p>
    <w:p>
      <w:pPr>
        <w:pStyle w:val="Heading2"/>
      </w:pPr>
      <w:r>
        <w:t xml:space="preserve">Purpose and application</w:t>
      </w:r>
    </w:p>
    <w:p>
      <w:pPr>
        <w:spacing w:after="140"/>
      </w:pPr>
      <w:r>
        <w:t xml:space="preserve">The code applies to all members, regardless of category, across all their activities: analysis and research, criminal intelligence, prevention, risk assessment, intervention and support, teaching, consulting, expert opinion and testimony. In this code, the word "person" means any person or group served or affected by the criminologist's practice, including victims, people who have offended, organizations, courts and communities.</w:t>
      </w:r>
    </w:p>
    <w:p>
      <w:pPr>
        <w:pStyle w:val="Heading2"/>
      </w:pPr>
      <w:r>
        <w:t xml:space="preserve">A non-clinical practice</w:t>
      </w:r>
    </w:p>
    <w:p>
      <w:pPr>
        <w:spacing w:after="140"/>
      </w:pPr>
      <w:r>
        <w:t xml:space="preserve">The criminologist works in the field of crime and justice. They make no diagnosis, provide no psychotherapy or mental-health treatment, and perform no act reserved to a regulated profession (social work, psychology, counselling therapy, law, medicine) without holding the title. They recognize the limits of their scope and refer the person to the competent profession when needed.</w:t>
      </w:r>
    </w:p>
    <w:p>
      <w:pPr>
        <w:pStyle w:val="Heading2"/>
      </w:pPr>
      <w:r>
        <w:t xml:space="preserve">Core values</w:t>
      </w:r>
    </w:p>
    <w:p>
      <w:pPr>
        <w:pStyle w:val="ListParagraph"/>
        <w:numPr>
          <w:ilvl w:val="0"/>
          <w:numId w:val="2"/>
        </w:numPr>
        <w:spacing w:after="60"/>
      </w:pPr>
      <w:r>
        <w:rPr>
          <w:b/>
          <w:bCs/>
        </w:rPr>
        <w:t xml:space="preserve">Dignity and worth of the person</w:t>
      </w:r>
      <w:r>
        <w:t xml:space="preserve">: respect the rights, autonomy and inherent worth of every person.</w:t>
      </w:r>
    </w:p>
    <w:p>
      <w:pPr>
        <w:pStyle w:val="ListParagraph"/>
        <w:numPr>
          <w:ilvl w:val="0"/>
          <w:numId w:val="2"/>
        </w:numPr>
        <w:spacing w:after="60"/>
      </w:pPr>
      <w:r>
        <w:rPr>
          <w:b/>
          <w:bCs/>
        </w:rPr>
        <w:t xml:space="preserve">Justice and fairness</w:t>
      </w:r>
      <w:r>
        <w:t xml:space="preserve">: act impartially and contribute to a fair justice system.</w:t>
      </w:r>
    </w:p>
    <w:p>
      <w:pPr>
        <w:pStyle w:val="ListParagraph"/>
        <w:numPr>
          <w:ilvl w:val="0"/>
          <w:numId w:val="2"/>
        </w:numPr>
        <w:spacing w:after="60"/>
      </w:pPr>
      <w:r>
        <w:rPr>
          <w:b/>
          <w:bCs/>
        </w:rPr>
        <w:t xml:space="preserve">Integrity</w:t>
      </w:r>
      <w:r>
        <w:t xml:space="preserve">: act with honesty, probity and transparency.</w:t>
      </w:r>
    </w:p>
    <w:p>
      <w:pPr>
        <w:pStyle w:val="ListParagraph"/>
        <w:numPr>
          <w:ilvl w:val="0"/>
          <w:numId w:val="2"/>
        </w:numPr>
        <w:spacing w:after="60"/>
      </w:pPr>
      <w:r>
        <w:rPr>
          <w:b/>
          <w:bCs/>
        </w:rPr>
        <w:t xml:space="preserve">Competence and rigour</w:t>
      </w:r>
      <w:r>
        <w:t xml:space="preserve">: base practice on evidence and recognized methods.</w:t>
      </w:r>
    </w:p>
    <w:p>
      <w:pPr>
        <w:pStyle w:val="ListParagraph"/>
        <w:numPr>
          <w:ilvl w:val="0"/>
          <w:numId w:val="2"/>
        </w:numPr>
        <w:spacing w:after="60"/>
      </w:pPr>
      <w:r>
        <w:rPr>
          <w:b/>
          <w:bCs/>
        </w:rPr>
        <w:t xml:space="preserve">Confidentiality</w:t>
      </w:r>
      <w:r>
        <w:t xml:space="preserve">: protect information obtained in the course of duties.</w:t>
      </w:r>
    </w:p>
    <w:p>
      <w:pPr>
        <w:pStyle w:val="ListParagraph"/>
        <w:numPr>
          <w:ilvl w:val="0"/>
          <w:numId w:val="2"/>
        </w:numPr>
        <w:spacing w:after="60"/>
      </w:pPr>
      <w:r>
        <w:rPr>
          <w:b/>
          <w:bCs/>
        </w:rPr>
        <w:t xml:space="preserve">Protection of the public</w:t>
      </w:r>
      <w:r>
        <w:t xml:space="preserve">: place the public interest and safety ahead of personal interest.</w:t>
      </w:r>
    </w:p>
    <w:p>
      <w:pPr>
        <w:pStyle w:val="ListParagraph"/>
        <w:numPr>
          <w:ilvl w:val="0"/>
          <w:numId w:val="2"/>
        </w:numPr>
        <w:spacing w:after="60"/>
      </w:pPr>
      <w:r>
        <w:rPr>
          <w:b/>
          <w:bCs/>
        </w:rPr>
        <w:t xml:space="preserve">Respect for diversity and cultural safety</w:t>
      </w:r>
      <w:r>
        <w:t xml:space="preserve">: recognize and respect cultures, languages and perspectives, including those of Indigenous peoples, in a spirit of truth and reconciliation.</w:t>
      </w:r>
    </w:p>
    <w:p>
      <w:pPr>
        <w:pStyle w:val="Heading2"/>
      </w:pPr>
      <w:r>
        <w:t xml:space="preserve">1. Obligations to persons and the public</w:t>
      </w:r>
    </w:p>
    <w:p>
      <w:pPr>
        <w:pStyle w:val="ListParagraph"/>
        <w:numPr>
          <w:ilvl w:val="0"/>
          <w:numId w:val="2"/>
        </w:numPr>
        <w:spacing w:after="60"/>
      </w:pPr>
      <w:r>
        <w:rPr>
          <w:b/>
          <w:bCs/>
        </w:rPr>
        <w:t xml:space="preserve">1.1 Interest and safety</w:t>
      </w:r>
      <w:r>
        <w:t xml:space="preserve">: place the interest and safety of the person and the public first; never use one's position to cause harm.</w:t>
      </w:r>
    </w:p>
    <w:p>
      <w:pPr>
        <w:pStyle w:val="ListParagraph"/>
        <w:numPr>
          <w:ilvl w:val="0"/>
          <w:numId w:val="2"/>
        </w:numPr>
        <w:spacing w:after="60"/>
      </w:pPr>
      <w:r>
        <w:rPr>
          <w:b/>
          <w:bCs/>
        </w:rPr>
        <w:t xml:space="preserve">1.2 Non-discrimination</w:t>
      </w:r>
      <w:r>
        <w:t xml:space="preserve">: treat every person without discrimination, with respect for their dignity and rights.</w:t>
      </w:r>
    </w:p>
    <w:p>
      <w:pPr>
        <w:pStyle w:val="ListParagraph"/>
        <w:numPr>
          <w:ilvl w:val="0"/>
          <w:numId w:val="2"/>
        </w:numPr>
        <w:spacing w:after="60"/>
      </w:pPr>
      <w:r>
        <w:rPr>
          <w:b/>
          <w:bCs/>
        </w:rPr>
        <w:t xml:space="preserve">1.3 Cultural safety and reconciliation</w:t>
      </w:r>
      <w:r>
        <w:t xml:space="preserve">: account for cultural and linguistic contexts, recognize and respect Indigenous perspectives, and foster cultural safety.</w:t>
      </w:r>
    </w:p>
    <w:p>
      <w:pPr>
        <w:pStyle w:val="ListParagraph"/>
        <w:numPr>
          <w:ilvl w:val="0"/>
          <w:numId w:val="2"/>
        </w:numPr>
        <w:spacing w:after="60"/>
      </w:pPr>
      <w:r>
        <w:rPr>
          <w:b/>
          <w:bCs/>
        </w:rPr>
        <w:t xml:space="preserve">1.4 Informed consent</w:t>
      </w:r>
      <w:r>
        <w:t xml:space="preserve">: obtain free and informed consent, explicit or implied as appropriate; account for the capacity of minors; obtain consent before any use of technology, artificial intelligence, audio or video recording, or observation by a third party.</w:t>
      </w:r>
    </w:p>
    <w:p>
      <w:pPr>
        <w:pStyle w:val="ListParagraph"/>
        <w:numPr>
          <w:ilvl w:val="0"/>
          <w:numId w:val="2"/>
        </w:numPr>
        <w:spacing w:after="60"/>
      </w:pPr>
      <w:r>
        <w:rPr>
          <w:b/>
          <w:bCs/>
        </w:rPr>
        <w:t xml:space="preserve">1.5 Confidentiality</w:t>
      </w:r>
      <w:r>
        <w:t xml:space="preserve">: disclose information only with consent or where required by law; do not search for or gather a person's information, including on social media, without a professional reason; notify the person and, where applicable, the employer of any breach; seek legal advice when in doubt; keep referral sources confidential; respect the rights of deceased persons.</w:t>
      </w:r>
    </w:p>
    <w:p>
      <w:pPr>
        <w:pStyle w:val="ListParagraph"/>
        <w:numPr>
          <w:ilvl w:val="0"/>
          <w:numId w:val="2"/>
        </w:numPr>
        <w:spacing w:after="60"/>
      </w:pPr>
      <w:r>
        <w:rPr>
          <w:b/>
          <w:bCs/>
        </w:rPr>
        <w:t xml:space="preserve">1.6 Records</w:t>
      </w:r>
      <w:r>
        <w:t xml:space="preserve">: maintain, retain and secure records appropriately; record only relevant information, in a timely manner; inform the person of their right of access; protect the anonymity of third parties; apply technological security measures.</w:t>
      </w:r>
    </w:p>
    <w:p>
      <w:pPr>
        <w:pStyle w:val="ListParagraph"/>
        <w:numPr>
          <w:ilvl w:val="0"/>
          <w:numId w:val="2"/>
        </w:numPr>
        <w:spacing w:after="60"/>
      </w:pPr>
      <w:r>
        <w:rPr>
          <w:b/>
          <w:bCs/>
        </w:rPr>
        <w:t xml:space="preserve">1.7 Trauma sensitivity</w:t>
      </w:r>
      <w:r>
        <w:t xml:space="preserve">: adopt a non-clinical, trauma- and victimization-aware approach.</w:t>
      </w:r>
    </w:p>
    <w:p>
      <w:pPr>
        <w:pStyle w:val="Heading2"/>
      </w:pPr>
      <w:r>
        <w:t xml:space="preserve">2. Obligations in professional relationships</w:t>
      </w:r>
    </w:p>
    <w:p>
      <w:pPr>
        <w:pStyle w:val="ListParagraph"/>
        <w:numPr>
          <w:ilvl w:val="0"/>
          <w:numId w:val="2"/>
        </w:numPr>
        <w:spacing w:after="60"/>
      </w:pPr>
      <w:r>
        <w:rPr>
          <w:b/>
          <w:bCs/>
        </w:rPr>
        <w:t xml:space="preserve">2.1 Professional boundaries</w:t>
      </w:r>
      <w:r>
        <w:t xml:space="preserve">: set and maintain clear boundaries; assess, manage and document any unavoidable crossing; act promptly on inappropriate crossings.</w:t>
      </w:r>
    </w:p>
    <w:p>
      <w:pPr>
        <w:pStyle w:val="ListParagraph"/>
        <w:numPr>
          <w:ilvl w:val="0"/>
          <w:numId w:val="2"/>
        </w:numPr>
        <w:spacing w:after="60"/>
      </w:pPr>
      <w:r>
        <w:rPr>
          <w:b/>
          <w:bCs/>
        </w:rPr>
        <w:t xml:space="preserve">2.2 Physical contact</w:t>
      </w:r>
      <w:r>
        <w:t xml:space="preserve">: avoid inappropriate physical contact; this rule does not apply to appropriate contact during crisis intervention or de-escalation.</w:t>
      </w:r>
    </w:p>
    <w:p>
      <w:pPr>
        <w:pStyle w:val="ListParagraph"/>
        <w:numPr>
          <w:ilvl w:val="0"/>
          <w:numId w:val="2"/>
        </w:numPr>
        <w:spacing w:after="60"/>
      </w:pPr>
      <w:r>
        <w:rPr>
          <w:b/>
          <w:bCs/>
        </w:rPr>
        <w:t xml:space="preserve">2.3 Intimate or sexual relationships</w:t>
      </w:r>
      <w:r>
        <w:t xml:space="preserve">: refrain from any intimate, romantic or sexual relationship with a person served, current or former; do not provide services to a person with whom such a relationship exists or existed.</w:t>
      </w:r>
    </w:p>
    <w:p>
      <w:pPr>
        <w:pStyle w:val="ListParagraph"/>
        <w:numPr>
          <w:ilvl w:val="0"/>
          <w:numId w:val="2"/>
        </w:numPr>
        <w:spacing w:after="60"/>
      </w:pPr>
      <w:r>
        <w:rPr>
          <w:b/>
          <w:bCs/>
        </w:rPr>
        <w:t xml:space="preserve">2.4 Exploitation and gifts</w:t>
      </w:r>
      <w:r>
        <w:t xml:space="preserve">: avoid any business or financial relationship with a person served; accept only gifts of nominal value that are appropriate and consistent with policies.</w:t>
      </w:r>
    </w:p>
    <w:p>
      <w:pPr>
        <w:pStyle w:val="ListParagraph"/>
        <w:numPr>
          <w:ilvl w:val="0"/>
          <w:numId w:val="2"/>
        </w:numPr>
        <w:spacing w:after="60"/>
      </w:pPr>
      <w:r>
        <w:rPr>
          <w:b/>
          <w:bCs/>
        </w:rPr>
        <w:t xml:space="preserve">2.5 Conflicts of interest</w:t>
      </w:r>
      <w:r>
        <w:t xml:space="preserve">: avoid dual or multiple relationships; promptly declare any actual, potential or apparent conflict; protect the person when a dual relationship is unavoidable.</w:t>
      </w:r>
    </w:p>
    <w:p>
      <w:pPr>
        <w:pStyle w:val="Heading2"/>
      </w:pPr>
      <w:r>
        <w:t xml:space="preserve">3. Obligations to colleagues and other professions</w:t>
      </w:r>
    </w:p>
    <w:p>
      <w:pPr>
        <w:pStyle w:val="ListParagraph"/>
        <w:numPr>
          <w:ilvl w:val="0"/>
          <w:numId w:val="2"/>
        </w:numPr>
        <w:spacing w:after="60"/>
      </w:pPr>
      <w:r>
        <w:rPr>
          <w:b/>
          <w:bCs/>
        </w:rPr>
        <w:t xml:space="preserve">3.1 Respect and collaboration</w:t>
      </w:r>
      <w:r>
        <w:t xml:space="preserve">: treat colleagues and other professionals with respect; foster interdisciplinary work.</w:t>
      </w:r>
    </w:p>
    <w:p>
      <w:pPr>
        <w:pStyle w:val="ListParagraph"/>
        <w:numPr>
          <w:ilvl w:val="0"/>
          <w:numId w:val="2"/>
        </w:numPr>
        <w:spacing w:after="60"/>
      </w:pPr>
      <w:r>
        <w:rPr>
          <w:b/>
          <w:bCs/>
        </w:rPr>
        <w:t xml:space="preserve">3.2 Complementarity and referral</w:t>
      </w:r>
      <w:r>
        <w:t xml:space="preserve">: work in complement, never as a substitute; refer the person to the competent regulated profession when the situation requires it.</w:t>
      </w:r>
    </w:p>
    <w:p>
      <w:pPr>
        <w:pStyle w:val="ListParagraph"/>
        <w:numPr>
          <w:ilvl w:val="0"/>
          <w:numId w:val="2"/>
        </w:numPr>
        <w:spacing w:after="60"/>
      </w:pPr>
      <w:r>
        <w:rPr>
          <w:b/>
          <w:bCs/>
        </w:rPr>
        <w:t xml:space="preserve">3.3 Supervision and placements</w:t>
      </w:r>
      <w:r>
        <w:t xml:space="preserve">: provide fair, respectful and objective supervision; comply with educational-institution requirements and report any competency concern.</w:t>
      </w:r>
    </w:p>
    <w:p>
      <w:pPr>
        <w:pStyle w:val="Heading2"/>
      </w:pPr>
      <w:r>
        <w:t xml:space="preserve">4. Obligations in the workplace</w:t>
      </w:r>
    </w:p>
    <w:p>
      <w:pPr>
        <w:pStyle w:val="ListParagraph"/>
        <w:numPr>
          <w:ilvl w:val="0"/>
          <w:numId w:val="2"/>
        </w:numPr>
        <w:spacing w:after="60"/>
      </w:pPr>
      <w:r>
        <w:rPr>
          <w:b/>
          <w:bCs/>
        </w:rPr>
        <w:t xml:space="preserve">4.1 Position of power</w:t>
      </w:r>
      <w:r>
        <w:t xml:space="preserve">: recognize one's position of power and protect persons from any abuse of it, during and after services.</w:t>
      </w:r>
    </w:p>
    <w:p>
      <w:pPr>
        <w:pStyle w:val="ListParagraph"/>
        <w:numPr>
          <w:ilvl w:val="0"/>
          <w:numId w:val="2"/>
        </w:numPr>
        <w:spacing w:after="60"/>
      </w:pPr>
      <w:r>
        <w:rPr>
          <w:b/>
          <w:bCs/>
        </w:rPr>
        <w:t xml:space="preserve">4.2 Fitness and self-care</w:t>
      </w:r>
      <w:r>
        <w:t xml:space="preserve">: practise self-care and seek help when needed so that personal difficulties do not impair services.</w:t>
      </w:r>
    </w:p>
    <w:p>
      <w:pPr>
        <w:pStyle w:val="ListParagraph"/>
        <w:numPr>
          <w:ilvl w:val="0"/>
          <w:numId w:val="2"/>
        </w:numPr>
        <w:spacing w:after="60"/>
      </w:pPr>
      <w:r>
        <w:rPr>
          <w:b/>
          <w:bCs/>
        </w:rPr>
        <w:t xml:space="preserve">4.3 Knowledge of the framework</w:t>
      </w:r>
      <w:r>
        <w:t xml:space="preserve">: be knowledgeable about the laws, policies, programs and issues relating to the populations served.</w:t>
      </w:r>
    </w:p>
    <w:p>
      <w:pPr>
        <w:pStyle w:val="Heading2"/>
      </w:pPr>
      <w:r>
        <w:t xml:space="preserve">5. Obligations in independent practice</w:t>
      </w:r>
    </w:p>
    <w:p>
      <w:pPr>
        <w:pStyle w:val="ListParagraph"/>
        <w:numPr>
          <w:ilvl w:val="0"/>
          <w:numId w:val="2"/>
        </w:numPr>
        <w:spacing w:after="60"/>
      </w:pPr>
      <w:r>
        <w:rPr>
          <w:b/>
          <w:bCs/>
        </w:rPr>
        <w:t xml:space="preserve">5.1 Clear policies</w:t>
      </w:r>
      <w:r>
        <w:t xml:space="preserve">: hold the required competencies, set clear policies and procedures, and plan for emergencies.</w:t>
      </w:r>
    </w:p>
    <w:p>
      <w:pPr>
        <w:pStyle w:val="ListParagraph"/>
        <w:numPr>
          <w:ilvl w:val="0"/>
          <w:numId w:val="2"/>
        </w:numPr>
        <w:spacing w:after="60"/>
      </w:pPr>
      <w:r>
        <w:rPr>
          <w:b/>
          <w:bCs/>
        </w:rPr>
        <w:t xml:space="preserve">5.2 Insurance</w:t>
      </w:r>
      <w:r>
        <w:t xml:space="preserve">: maintain professional liability insurance, including for electronic services.</w:t>
      </w:r>
    </w:p>
    <w:p>
      <w:pPr>
        <w:pStyle w:val="ListParagraph"/>
        <w:numPr>
          <w:ilvl w:val="0"/>
          <w:numId w:val="2"/>
        </w:numPr>
        <w:spacing w:after="60"/>
      </w:pPr>
      <w:r>
        <w:rPr>
          <w:b/>
          <w:bCs/>
        </w:rPr>
        <w:t xml:space="preserve">5.3 Promotion of services</w:t>
      </w:r>
      <w:r>
        <w:t xml:space="preserve">: use accurate and current advertising; obtain consent before any testimonial; do not solicit endorsements.</w:t>
      </w:r>
    </w:p>
    <w:p>
      <w:pPr>
        <w:pStyle w:val="Heading2"/>
      </w:pPr>
      <w:r>
        <w:t xml:space="preserve">6. Obligations to the public and society</w:t>
      </w:r>
    </w:p>
    <w:p>
      <w:pPr>
        <w:pStyle w:val="ListParagraph"/>
        <w:numPr>
          <w:ilvl w:val="0"/>
          <w:numId w:val="2"/>
        </w:numPr>
        <w:spacing w:after="60"/>
      </w:pPr>
      <w:r>
        <w:rPr>
          <w:b/>
          <w:bCs/>
        </w:rPr>
        <w:t xml:space="preserve">6.1 Title protection</w:t>
      </w:r>
      <w:r>
        <w:t xml:space="preserve">: report misuse of the title or the practice of criminology by an unqualified person.</w:t>
      </w:r>
    </w:p>
    <w:p>
      <w:pPr>
        <w:pStyle w:val="ListParagraph"/>
        <w:numPr>
          <w:ilvl w:val="0"/>
          <w:numId w:val="2"/>
        </w:numPr>
        <w:spacing w:after="60"/>
      </w:pPr>
      <w:r>
        <w:rPr>
          <w:b/>
          <w:bCs/>
        </w:rPr>
        <w:t xml:space="preserve">6.2 Expertise and testimony</w:t>
      </w:r>
      <w:r>
        <w:t xml:space="preserve">: provide objective opinions, expertise and testimony, based on evidence and limited to one's competence.</w:t>
      </w:r>
    </w:p>
    <w:p>
      <w:pPr>
        <w:pStyle w:val="ListParagraph"/>
        <w:numPr>
          <w:ilvl w:val="0"/>
          <w:numId w:val="2"/>
        </w:numPr>
        <w:spacing w:after="60"/>
      </w:pPr>
      <w:r>
        <w:rPr>
          <w:b/>
          <w:bCs/>
        </w:rPr>
        <w:t xml:space="preserve">6.3 Prevention and education</w:t>
      </w:r>
      <w:r>
        <w:t xml:space="preserve">: contribute to crime prevention and public education.</w:t>
      </w:r>
    </w:p>
    <w:p>
      <w:pPr>
        <w:pStyle w:val="Heading2"/>
      </w:pPr>
      <w:r>
        <w:t xml:space="preserve">7. Obligations to the profession and the Association</w:t>
      </w:r>
    </w:p>
    <w:p>
      <w:pPr>
        <w:pStyle w:val="ListParagraph"/>
        <w:numPr>
          <w:ilvl w:val="0"/>
          <w:numId w:val="2"/>
        </w:numPr>
        <w:spacing w:after="60"/>
      </w:pPr>
      <w:r>
        <w:rPr>
          <w:b/>
          <w:bCs/>
        </w:rPr>
        <w:t xml:space="preserve">7.1 Continuing competence</w:t>
      </w:r>
      <w:r>
        <w:t xml:space="preserve">: maintain and develop competencies under the Continuing Professional Development Policy.</w:t>
      </w:r>
    </w:p>
    <w:p>
      <w:pPr>
        <w:pStyle w:val="ListParagraph"/>
        <w:numPr>
          <w:ilvl w:val="0"/>
          <w:numId w:val="2"/>
        </w:numPr>
        <w:spacing w:after="60"/>
      </w:pPr>
      <w:r>
        <w:rPr>
          <w:b/>
          <w:bCs/>
        </w:rPr>
        <w:t xml:space="preserve">7.2 Integrity of the profession</w:t>
      </w:r>
      <w:r>
        <w:t xml:space="preserve">: contribute to the profession's reputation and do not bring it into disrepute.</w:t>
      </w:r>
    </w:p>
    <w:p>
      <w:pPr>
        <w:pStyle w:val="ListParagraph"/>
        <w:numPr>
          <w:ilvl w:val="0"/>
          <w:numId w:val="2"/>
        </w:numPr>
        <w:spacing w:after="60"/>
      </w:pPr>
      <w:r>
        <w:rPr>
          <w:b/>
          <w:bCs/>
        </w:rPr>
        <w:t xml:space="preserve">7.3 Support of the ethics process</w:t>
      </w:r>
      <w:r>
        <w:t xml:space="preserve">: cooperate with the procedures of the complaints and discipline committees; provide the information required in an investigation; report any illegal practice or serious breach.</w:t>
      </w:r>
    </w:p>
    <w:p>
      <w:pPr>
        <w:pStyle w:val="Heading2"/>
      </w:pPr>
      <w:r>
        <w:t xml:space="preserve">8. Service in both official languages</w:t>
      </w:r>
    </w:p>
    <w:p>
      <w:pPr>
        <w:spacing w:after="140"/>
      </w:pPr>
      <w:r>
        <w:t xml:space="preserve">Wherever possible, the member facilitates access to their services in French or English according to the person's choice, and receives Association communications in the language of their choice.</w:t>
      </w:r>
    </w:p>
    <w:p>
      <w:pPr>
        <w:pStyle w:val="Heading2"/>
      </w:pPr>
      <w:r>
        <w:t xml:space="preserve">9. Ethical decision-making</w:t>
      </w:r>
    </w:p>
    <w:p>
      <w:pPr>
        <w:pStyle w:val="ListParagraph"/>
        <w:numPr>
          <w:ilvl w:val="0"/>
          <w:numId w:val="3"/>
        </w:numPr>
        <w:spacing w:after="60"/>
      </w:pPr>
      <w:r>
        <w:t xml:space="preserve">Identify the ethical issue and the persons affected.</w:t>
      </w:r>
    </w:p>
    <w:p>
      <w:pPr>
        <w:pStyle w:val="ListParagraph"/>
        <w:numPr>
          <w:ilvl w:val="0"/>
          <w:numId w:val="3"/>
        </w:numPr>
        <w:spacing w:after="60"/>
      </w:pPr>
      <w:r>
        <w:t xml:space="preserve">Identify the applicable values, obligations and laws.</w:t>
      </w:r>
    </w:p>
    <w:p>
      <w:pPr>
        <w:pStyle w:val="ListParagraph"/>
        <w:numPr>
          <w:ilvl w:val="0"/>
          <w:numId w:val="3"/>
        </w:numPr>
        <w:spacing w:after="60"/>
      </w:pPr>
      <w:r>
        <w:t xml:space="preserve">Consider the options and their consequences.</w:t>
      </w:r>
    </w:p>
    <w:p>
      <w:pPr>
        <w:pStyle w:val="ListParagraph"/>
        <w:numPr>
          <w:ilvl w:val="0"/>
          <w:numId w:val="3"/>
        </w:numPr>
        <w:spacing w:after="60"/>
      </w:pPr>
      <w:r>
        <w:t xml:space="preserve">Consult as needed (colleagues, supervision, legal counsel).</w:t>
      </w:r>
    </w:p>
    <w:p>
      <w:pPr>
        <w:pStyle w:val="ListParagraph"/>
        <w:numPr>
          <w:ilvl w:val="0"/>
          <w:numId w:val="3"/>
        </w:numPr>
        <w:spacing w:after="60"/>
      </w:pPr>
      <w:r>
        <w:t xml:space="preserve">Decide, act and document the process.</w:t>
      </w:r>
    </w:p>
    <w:p>
      <w:pPr>
        <w:pStyle w:val="ListParagraph"/>
        <w:numPr>
          <w:ilvl w:val="0"/>
          <w:numId w:val="3"/>
        </w:numPr>
        <w:spacing w:after="60"/>
      </w:pPr>
      <w:r>
        <w:t xml:space="preserve">Review the decision and learn from it.</w:t>
      </w:r>
    </w:p>
    <w:p>
      <w:pPr>
        <w:pStyle w:val="Heading2"/>
      </w:pPr>
      <w:r>
        <w:t xml:space="preserve">10. Breaches and measures</w:t>
      </w:r>
    </w:p>
    <w:p>
      <w:pPr>
        <w:spacing w:after="140"/>
      </w:pPr>
      <w:r>
        <w:t xml:space="preserve">Any breach may lead to measures under the Complaints-Handling Policy, ranging from a warning to removal.</w:t>
      </w:r>
    </w:p>
    <w:p>
      <w:pPr>
        <w:pStyle w:val="Heading2"/>
      </w:pPr>
      <w:r>
        <w:t xml:space="preserve">11. Glossary</w:t>
      </w:r>
    </w:p>
    <w:p>
      <w:pPr>
        <w:pStyle w:val="ListParagraph"/>
        <w:numPr>
          <w:ilvl w:val="0"/>
          <w:numId w:val="2"/>
        </w:numPr>
        <w:spacing w:after="60"/>
      </w:pPr>
      <w:r>
        <w:rPr>
          <w:b/>
          <w:bCs/>
        </w:rPr>
        <w:t xml:space="preserve">Person</w:t>
      </w:r>
      <w:r>
        <w:t xml:space="preserve"> : any person or group served or affected by the criminologist's practice (victims, people who have offended, organizations, courts, communities).</w:t>
      </w:r>
    </w:p>
    <w:p>
      <w:pPr>
        <w:pStyle w:val="ListParagraph"/>
        <w:numPr>
          <w:ilvl w:val="0"/>
          <w:numId w:val="2"/>
        </w:numPr>
        <w:spacing w:after="60"/>
      </w:pPr>
      <w:r>
        <w:rPr>
          <w:b/>
          <w:bCs/>
        </w:rPr>
        <w:t xml:space="preserve">Informed consent</w:t>
      </w:r>
      <w:r>
        <w:t xml:space="preserve"> : free agreement given after sufficient information on the nature, purposes, limits and risks of the intervention.</w:t>
      </w:r>
    </w:p>
    <w:p>
      <w:pPr>
        <w:pStyle w:val="ListParagraph"/>
        <w:numPr>
          <w:ilvl w:val="0"/>
          <w:numId w:val="2"/>
        </w:numPr>
        <w:spacing w:after="60"/>
      </w:pPr>
      <w:r>
        <w:rPr>
          <w:b/>
          <w:bCs/>
        </w:rPr>
        <w:t xml:space="preserve">Confidentiality</w:t>
      </w:r>
      <w:r>
        <w:t xml:space="preserve"> : the duty to protect information obtained and to disclose it only with consent or where required by law.</w:t>
      </w:r>
    </w:p>
    <w:p>
      <w:pPr>
        <w:pStyle w:val="ListParagraph"/>
        <w:numPr>
          <w:ilvl w:val="0"/>
          <w:numId w:val="2"/>
        </w:numPr>
        <w:spacing w:after="60"/>
      </w:pPr>
      <w:r>
        <w:rPr>
          <w:b/>
          <w:bCs/>
        </w:rPr>
        <w:t xml:space="preserve">Competence</w:t>
      </w:r>
      <w:r>
        <w:t xml:space="preserve"> : the knowledge, skills and judgment required to practise rigorously within one's field.</w:t>
      </w:r>
    </w:p>
    <w:p>
      <w:pPr>
        <w:pStyle w:val="ListParagraph"/>
        <w:numPr>
          <w:ilvl w:val="0"/>
          <w:numId w:val="2"/>
        </w:numPr>
        <w:spacing w:after="60"/>
      </w:pPr>
      <w:r>
        <w:rPr>
          <w:b/>
          <w:bCs/>
        </w:rPr>
        <w:t xml:space="preserve">Conflict of interest</w:t>
      </w:r>
      <w:r>
        <w:t xml:space="preserve"> : a situation where a personal interest may influence professional judgment.</w:t>
      </w:r>
    </w:p>
    <w:p>
      <w:pPr>
        <w:pStyle w:val="ListParagraph"/>
        <w:numPr>
          <w:ilvl w:val="0"/>
          <w:numId w:val="2"/>
        </w:numPr>
        <w:spacing w:after="60"/>
      </w:pPr>
      <w:r>
        <w:rPr>
          <w:b/>
          <w:bCs/>
        </w:rPr>
        <w:t xml:space="preserve">Dual or multiple relationship</w:t>
      </w:r>
      <w:r>
        <w:t xml:space="preserve"> : a relationship in addition to the professional one that may harm the person or create a conflict of interest.</w:t>
      </w:r>
    </w:p>
    <w:p>
      <w:pPr>
        <w:pStyle w:val="ListParagraph"/>
        <w:numPr>
          <w:ilvl w:val="0"/>
          <w:numId w:val="2"/>
        </w:numPr>
        <w:spacing w:after="60"/>
      </w:pPr>
      <w:r>
        <w:rPr>
          <w:b/>
          <w:bCs/>
        </w:rPr>
        <w:t xml:space="preserve">Scope of practice</w:t>
      </w:r>
      <w:r>
        <w:t xml:space="preserve"> : the activities a criminologist may perform according to their competence and field.</w:t>
      </w:r>
    </w:p>
    <w:p>
      <w:pPr>
        <w:pStyle w:val="ListParagraph"/>
        <w:numPr>
          <w:ilvl w:val="0"/>
          <w:numId w:val="2"/>
        </w:numPr>
        <w:spacing w:after="60"/>
      </w:pPr>
      <w:r>
        <w:rPr>
          <w:b/>
          <w:bCs/>
        </w:rPr>
        <w:t xml:space="preserve">Reserved act</w:t>
      </w:r>
      <w:r>
        <w:t xml:space="preserve"> : an activity that a law reserves to a regulated profession.</w:t>
      </w:r>
    </w:p>
    <w:p>
      <w:pPr>
        <w:pStyle w:val="ListParagraph"/>
        <w:numPr>
          <w:ilvl w:val="0"/>
          <w:numId w:val="2"/>
        </w:numPr>
        <w:spacing w:after="60"/>
      </w:pPr>
      <w:r>
        <w:rPr>
          <w:b/>
          <w:bCs/>
        </w:rPr>
        <w:t xml:space="preserve">Cultural safety</w:t>
      </w:r>
      <w:r>
        <w:t xml:space="preserve"> : practice that respects cultures, languages and perspectives, including those of Indigenous peoples, fostering a safe environment.</w:t>
      </w:r>
    </w:p>
    <w:p>
      <w:pPr>
        <w:pStyle w:val="ListParagraph"/>
        <w:numPr>
          <w:ilvl w:val="0"/>
          <w:numId w:val="2"/>
        </w:numPr>
        <w:spacing w:after="60"/>
      </w:pPr>
      <w:r>
        <w:rPr>
          <w:b/>
          <w:bCs/>
        </w:rPr>
        <w:t xml:space="preserve">Evidence</w:t>
      </w:r>
      <w:r>
        <w:t xml:space="preserve"> : reliable findings from research and recognized methods.</w:t>
      </w:r>
    </w:p>
    <w:p>
      <w:pPr>
        <w:pBdr>
          <w:left w:val="single" w:color="B08A3E" w:sz="18" w:space="8"/>
        </w:pBdr>
        <w:shd w:fill="F4EEDD" w:val="clear"/>
        <w:spacing w:after="160" w:before="120"/>
      </w:pPr>
      <w:r>
        <w:t xml:space="preserve">Commitment: by joining the NBPAC, each member undertakes to respect this code and to promote its principles.</w:t>
      </w:r>
    </w:p>
    <w:p>
      <w:pPr>
        <w:pBdr>
          <w:left w:val="single" w:color="B08A3E" w:sz="18" w:space="8"/>
        </w:pBdr>
        <w:shd w:fill="F4EEDD" w:val="clear"/>
        <w:spacing w:after="160" w:before="120"/>
      </w:pPr>
      <w:r>
        <w:t xml:space="preserve">Note: this code draws on leading ethical practices; it should be validated by New Brunswick legal counsel and confers no exclusive right to practise.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Code de déontologie / Code of Ethics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de déontologie / Code of Ethics</dc:title>
  <dc:creator>APCNB / NBPAC</dc:creator>
  <cp:lastModifiedBy>Un-named</cp:lastModifiedBy>
  <cp:revision>1</cp:revision>
  <dcterms:created xsi:type="dcterms:W3CDTF">2026-10-29T08:04:34.443Z</dcterms:created>
  <dcterms:modified xsi:type="dcterms:W3CDTF">2026-10-29T08:04:34.443Z</dcterms:modified>
</cp:coreProperties>
</file>

<file path=docProps/custom.xml><?xml version="1.0" encoding="utf-8"?>
<Properties xmlns="http://schemas.openxmlformats.org/officeDocument/2006/custom-properties" xmlns:vt="http://schemas.openxmlformats.org/officeDocument/2006/docPropsVTypes"/>
</file>