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Continuing Professional Development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Continuing professional development ensures members maintain and grow their competence for the benefit of the public and the profession.</w:t>
      </w:r>
    </w:p>
    <w:p>
      <w:pPr>
        <w:pStyle w:val="Heading2"/>
      </w:pPr>
      <w:r>
        <w:t xml:space="preserve">1. Annual Requirement</w:t>
      </w:r>
    </w:p>
    <w:p>
      <w:pPr>
        <w:spacing w:after="140"/>
      </w:pPr>
      <w:r>
        <w:t xml:space="preserve">Each regular member must accumulate at least </w:t>
      </w:r>
      <w:r>
        <w:rPr>
          <w:b/>
          <w:bCs/>
        </w:rPr>
        <w:t xml:space="preserve">20 continuing-education units (CEUs)</w:t>
      </w:r>
      <w:r>
        <w:t xml:space="preserve"> per year, of which at least 3 address professional ethics. One CEU equals one hour of recognized activity.</w:t>
      </w:r>
    </w:p>
    <w:p>
      <w:pPr>
        <w:pStyle w:val="Heading2"/>
      </w:pPr>
      <w:r>
        <w:t xml:space="preserve">2. Eligible Activities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Activity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Annual cap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Courses, workshops and conferences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Recognized online training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Presenting or teaching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or research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 on a professional committee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CEUs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Declaration and Evidence</w:t>
      </w:r>
    </w:p>
    <w:p>
      <w:pPr>
        <w:spacing w:after="140"/>
      </w:pPr>
      <w:r>
        <w:t xml:space="preserve">Members log their activities and keep supporting records for three years. An annual declaration is submitted at renewal.</w:t>
      </w:r>
    </w:p>
    <w:p>
      <w:pPr>
        <w:pStyle w:val="Heading2"/>
      </w:pPr>
      <w:r>
        <w:t xml:space="preserve">4. Verification</w:t>
      </w:r>
    </w:p>
    <w:p>
      <w:pPr>
        <w:spacing w:after="140"/>
      </w:pPr>
      <w:r>
        <w:t xml:space="preserve">The continuing-education committee may randomly audit declarations. Failure to meet the requirement may lead to a remediation plan or suspension.</w:t>
      </w:r>
    </w:p>
    <w:p>
      <w:pPr>
        <w:pStyle w:val="Heading2"/>
      </w:pPr>
      <w:r>
        <w:t xml:space="preserve">5. Bilingual Access</w:t>
      </w:r>
    </w:p>
    <w:p>
      <w:pPr>
        <w:spacing w:after="140"/>
      </w:pPr>
      <w:r>
        <w:t xml:space="preserve">The Association strives to offer or recognize activities in both French and English, so that all members can meet their requirements in the language of their choice.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Partial exemptions may be granted for parental leave, extended illness or other valid reasons, on request to the committee.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2026-10-29T08:04:34.509Z</dcterms:created>
  <dcterms:modified xsi:type="dcterms:W3CDTF">2026-10-29T08:04:34.509Z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