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Reconnaissance du titre de criminologue — résumé à l'intention des décideurs</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Feuillet synthèse à l'appui du mémoire de l'Association professionnelle de criminologie du Nouveau-Brunswick (APCNB).</w:t>
      </w:r>
    </w:p>
    <w:p>
      <w:pPr>
        <w:pStyle w:val="Heading2"/>
      </w:pPr>
      <w:r>
        <w:t xml:space="preserve">Le problème</w:t>
      </w:r>
    </w:p>
    <w:p>
      <w:pPr>
        <w:spacing w:after="140"/>
      </w:pPr>
      <w:r>
        <w:t xml:space="preserve">Au Nouveau-Brunswick, le titre de « criminologue » n'est protégé par aucune loi. Toute personne peut s'en réclamer, sans formation reconnue ni encadrement déontologique, alors même que les criminologues interviennent auprès de personnes vulnérables et éclairent des décisions de justice.</w:t>
      </w:r>
    </w:p>
    <w:p>
      <w:pPr>
        <w:pStyle w:val="Heading2"/>
      </w:pPr>
      <w:r>
        <w:t xml:space="preserve">La demande</w:t>
      </w:r>
    </w:p>
    <w:p>
      <w:pPr>
        <w:pStyle w:val="ListParagraph"/>
        <w:numPr>
          <w:ilvl w:val="0"/>
          <w:numId w:val="2"/>
        </w:numPr>
        <w:spacing w:after="60"/>
      </w:pPr>
      <w:r>
        <w:t xml:space="preserve">Reconnaître le criminologue comme profession à titre protégé au Nouveau-Brunswick.</w:t>
      </w:r>
    </w:p>
    <w:p>
      <w:pPr>
        <w:pStyle w:val="ListParagraph"/>
        <w:numPr>
          <w:ilvl w:val="0"/>
          <w:numId w:val="2"/>
        </w:numPr>
        <w:spacing w:after="60"/>
      </w:pPr>
      <w:r>
        <w:t xml:space="preserve">Réserver le titre « criminologue » (et l'abréviation « crim. ») aux personnes répondant à des normes établies.</w:t>
      </w:r>
    </w:p>
    <w:p>
      <w:pPr>
        <w:pStyle w:val="ListParagraph"/>
        <w:numPr>
          <w:ilvl w:val="0"/>
          <w:numId w:val="2"/>
        </w:numPr>
        <w:spacing w:after="60"/>
      </w:pPr>
      <w:r>
        <w:t xml:space="preserve">Confier l'encadrement (admission, déontologie, plaintes, formation continue) à l'APCNB.</w:t>
      </w:r>
    </w:p>
    <w:p>
      <w:pPr>
        <w:pStyle w:val="Heading2"/>
      </w:pPr>
      <w:r>
        <w:t xml:space="preserve">Pourquoi maintenant</w:t>
      </w:r>
    </w:p>
    <w:p>
      <w:pPr>
        <w:pStyle w:val="ListParagraph"/>
        <w:numPr>
          <w:ilvl w:val="0"/>
          <w:numId w:val="2"/>
        </w:numPr>
        <w:spacing w:after="60"/>
      </w:pPr>
      <w:r>
        <w:t xml:space="preserve">Précédents au N.-B. : counseling thérapeutique (2017), psychologie, travail social (loi de 2024).</w:t>
      </w:r>
    </w:p>
    <w:p>
      <w:pPr>
        <w:pStyle w:val="ListParagraph"/>
        <w:numPr>
          <w:ilvl w:val="0"/>
          <w:numId w:val="2"/>
        </w:numPr>
        <w:spacing w:after="60"/>
      </w:pPr>
      <w:r>
        <w:t xml:space="preserve">Le Québec reconnaît le criminologue depuis 2015.</w:t>
      </w:r>
    </w:p>
    <w:p>
      <w:pPr>
        <w:pStyle w:val="ListParagraph"/>
        <w:numPr>
          <w:ilvl w:val="0"/>
          <w:numId w:val="2"/>
        </w:numPr>
        <w:spacing w:after="60"/>
      </w:pPr>
      <w:r>
        <w:t xml:space="preserve">L'APCNB possède déjà statuts, code de déontologie, norme de champ d'exercice et processus de plaintes.</w:t>
      </w:r>
    </w:p>
    <w:p>
      <w:pPr>
        <w:pStyle w:val="Heading2"/>
      </w:pPr>
      <w:r>
        <w:t xml:space="preserve">Bénéfices</w:t>
      </w:r>
    </w:p>
    <w:p>
      <w:pPr>
        <w:pStyle w:val="ListParagraph"/>
        <w:numPr>
          <w:ilvl w:val="0"/>
          <w:numId w:val="2"/>
        </w:numPr>
        <w:spacing w:after="60"/>
      </w:pPr>
      <w:r>
        <w:t xml:space="preserve">Protection accrue du public et des personnes vulnérables.</w:t>
      </w:r>
    </w:p>
    <w:p>
      <w:pPr>
        <w:pStyle w:val="ListParagraph"/>
        <w:numPr>
          <w:ilvl w:val="0"/>
          <w:numId w:val="2"/>
        </w:numPr>
        <w:spacing w:after="60"/>
      </w:pPr>
      <w:r>
        <w:t xml:space="preserve">Clarté pour les employeurs et les tribunaux.</w:t>
      </w:r>
    </w:p>
    <w:p>
      <w:pPr>
        <w:pStyle w:val="ListParagraph"/>
        <w:numPr>
          <w:ilvl w:val="0"/>
          <w:numId w:val="2"/>
        </w:numPr>
        <w:spacing w:after="60"/>
      </w:pPr>
      <w:r>
        <w:t xml:space="preserve">Complémentarité — et non concurrence — avec les professions réglementées.</w:t>
      </w:r>
    </w:p>
    <w:p>
      <w:pPr>
        <w:pStyle w:val="ListParagraph"/>
        <w:numPr>
          <w:ilvl w:val="0"/>
          <w:numId w:val="2"/>
        </w:numPr>
        <w:spacing w:after="60"/>
      </w:pPr>
      <w:r>
        <w:t xml:space="preserve">Services dans les deux langues officielles, sans coût pour les contribuables.</w:t>
      </w:r>
    </w:p>
    <w:p>
      <w:pPr>
        <w:pStyle w:val="Heading2"/>
      </w:pPr>
      <w:r>
        <w:t xml:space="preserve">Notre engagement</w:t>
      </w:r>
    </w:p>
    <w:p>
      <w:pPr>
        <w:spacing w:after="140"/>
      </w:pPr>
      <w:r>
        <w:t xml:space="preserve">L'APCNB définit le criminologue par la compétence et le domaine de la justice, défère les actes cliniques aux professions réglementées et inscrit un devoir de référence dans sa déontologie. Nous souhaitons collaborer avec le gouvernement et les ordres existants.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Résumé à l'intention des décideurs / One-page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Reconnaissance du titre de criminologue — résumé à l'intention des décideurs / Criminologist title recognition — summary for decision-makers</dc:title>
  <dc:creator>APCNB / NBPAC</dc:creator>
  <cp:lastModifiedBy>Un-named</cp:lastModifiedBy>
  <cp:revision>1</cp:revision>
  <dcterms:created xsi:type="dcterms:W3CDTF">2026-10-29T08:04:33.813Z</dcterms:created>
  <dcterms:modified xsi:type="dcterms:W3CDTF">2026-10-29T08:04:33.813Z</dcterms:modified>
</cp:coreProperties>
</file>

<file path=docProps/custom.xml><?xml version="1.0" encoding="utf-8"?>
<Properties xmlns="http://schemas.openxmlformats.org/officeDocument/2006/custom-properties" xmlns:vt="http://schemas.openxmlformats.org/officeDocument/2006/docPropsVTypes"/>
</file>