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d'accréditation des formations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La présente politique encadre l'accréditation des activités de formation continue et l'attribution des unités de formation continue (UFC), y compris pour les formations offertes par des partenaires externes.</w:t>
      </w:r>
    </w:p>
    <w:p>
      <w:pPr>
        <w:pStyle w:val="Heading2"/>
      </w:pPr>
      <w:r>
        <w:t xml:space="preserve">1. Objet</w:t>
      </w:r>
    </w:p>
    <w:p>
      <w:pPr>
        <w:spacing w:after="140"/>
      </w:pPr>
      <w:r>
        <w:t xml:space="preserve">Assurer la qualité, la pertinence et la rigueur des formations reconnues par l'APCNB, et préciser le rôle des formateurs et partenaires externes.</w:t>
      </w:r>
    </w:p>
    <w:p>
      <w:pPr>
        <w:pStyle w:val="Heading2"/>
      </w:pPr>
      <w:r>
        <w:t xml:space="preserve">2. Champ d'application</w:t>
      </w:r>
    </w:p>
    <w:p>
      <w:pPr>
        <w:spacing w:after="140"/>
      </w:pPr>
      <w:r>
        <w:t xml:space="preserve">La politique s'applique aux formations </w:t>
      </w:r>
      <w:r>
        <w:rPr>
          <w:b/>
          <w:bCs/>
        </w:rPr>
        <w:t xml:space="preserve">synchrones</w:t>
      </w:r>
      <w:r>
        <w:t xml:space="preserve"> (en direct : webinaires, ateliers) et </w:t>
      </w:r>
      <w:r>
        <w:rPr>
          <w:b/>
          <w:bCs/>
        </w:rPr>
        <w:t xml:space="preserve">asynchrones</w:t>
      </w:r>
      <w:r>
        <w:t xml:space="preserve"> (à votre rythme : cours en ligne, modules enregistrés), qu'elles soient conçues par l'Association ou par des partenaires (universités, organismes, professionnels).</w:t>
      </w:r>
    </w:p>
    <w:p>
      <w:pPr>
        <w:pStyle w:val="Heading2"/>
      </w:pPr>
      <w:r>
        <w:t xml:space="preserve">3. Critères d'accréditation</w:t>
      </w:r>
    </w:p>
    <w:p>
      <w:pPr>
        <w:pStyle w:val="ListParagraph"/>
        <w:numPr>
          <w:ilvl w:val="0"/>
          <w:numId w:val="2"/>
        </w:numPr>
        <w:spacing w:after="60"/>
      </w:pPr>
      <w:r>
        <w:t xml:space="preserve">Pertinence au champ d'exercice du criminologue (crime et justice) et aux besoins de la profession.</w:t>
      </w:r>
    </w:p>
    <w:p>
      <w:pPr>
        <w:pStyle w:val="ListParagraph"/>
        <w:numPr>
          <w:ilvl w:val="0"/>
          <w:numId w:val="2"/>
        </w:numPr>
        <w:spacing w:after="60"/>
      </w:pPr>
      <w:r>
        <w:t xml:space="preserve">Objectifs d'apprentissage clairs et mesurables.</w:t>
      </w:r>
    </w:p>
    <w:p>
      <w:pPr>
        <w:pStyle w:val="ListParagraph"/>
        <w:numPr>
          <w:ilvl w:val="0"/>
          <w:numId w:val="2"/>
        </w:numPr>
        <w:spacing w:after="60"/>
      </w:pPr>
      <w:r>
        <w:t xml:space="preserve">Contenu rigoureux, à jour et fondé sur des données probantes.</w:t>
      </w:r>
    </w:p>
    <w:p>
      <w:pPr>
        <w:pStyle w:val="ListParagraph"/>
        <w:numPr>
          <w:ilvl w:val="0"/>
          <w:numId w:val="2"/>
        </w:numPr>
        <w:spacing w:after="60"/>
      </w:pPr>
      <w:r>
        <w:t xml:space="preserve">Qualifications du formateur : expertise universitaire ou professionnelle reconnue.</w:t>
      </w:r>
    </w:p>
    <w:p>
      <w:pPr>
        <w:pStyle w:val="ListParagraph"/>
        <w:numPr>
          <w:ilvl w:val="0"/>
          <w:numId w:val="2"/>
        </w:numPr>
        <w:spacing w:after="60"/>
      </w:pPr>
      <w:r>
        <w:t xml:space="preserve">Méthode de confirmation de la participation (présence, évaluation ou attestation).</w:t>
      </w:r>
    </w:p>
    <w:p>
      <w:pPr>
        <w:pStyle w:val="ListParagraph"/>
        <w:numPr>
          <w:ilvl w:val="0"/>
          <w:numId w:val="2"/>
        </w:numPr>
        <w:spacing w:after="60"/>
      </w:pPr>
      <w:r>
        <w:t xml:space="preserve">Respect de la déontologie et des limites du champ d'exercice; aucun acte réservé à une profession réglementée.</w:t>
      </w:r>
    </w:p>
    <w:p>
      <w:pPr>
        <w:pStyle w:val="Heading2"/>
      </w:pPr>
      <w:r>
        <w:t xml:space="preserve">4. Attribution des UFC</w:t>
      </w:r>
    </w:p>
    <w:p>
      <w:pPr>
        <w:spacing w:after="140"/>
      </w:pPr>
      <w:r>
        <w:t xml:space="preserve">Une UFC équivaut à une heure d'activité reconnue. Les UFC accordées comptent pour l'exigence annuelle prévue à la Politique de formation continue (20 UFC par année pour les membres réguliers, dont au moins 3 en éthique). Les plafonds par type d'activité s'appliquent.</w:t>
      </w:r>
    </w:p>
    <w:p>
      <w:pPr>
        <w:pStyle w:val="Heading2"/>
      </w:pPr>
      <w:r>
        <w:t xml:space="preserve">5. Formateurs externes et partenaires</w:t>
      </w:r>
    </w:p>
    <w:p>
      <w:pPr>
        <w:spacing w:after="140"/>
      </w:pPr>
      <w:r>
        <w:t xml:space="preserve">L'Association peut reconnaître des formations conçues ou données par des universités — notamment dans le cadre de partenariats visés, comme avec l'Université de Moncton — ainsi que par des professionnels du domaine. Une entente écrite précise les rôles, la propriété du contenu, la langue d'offre et les modalités d'accréditation.</w:t>
      </w:r>
    </w:p>
    <w:p>
      <w:pPr>
        <w:pStyle w:val="Heading2"/>
      </w:pPr>
      <w:r>
        <w:t xml:space="preserve">6. Processus de demande</w:t>
      </w:r>
    </w:p>
    <w:p>
      <w:pPr>
        <w:pStyle w:val="ListParagraph"/>
        <w:numPr>
          <w:ilvl w:val="0"/>
          <w:numId w:val="3"/>
        </w:numPr>
        <w:spacing w:after="60"/>
      </w:pPr>
      <w:r>
        <w:t xml:space="preserve">Soumission de la proposition (titre, format, objectifs, durée, UFC proposées, qualifications du formateur).</w:t>
      </w:r>
    </w:p>
    <w:p>
      <w:pPr>
        <w:pStyle w:val="ListParagraph"/>
        <w:numPr>
          <w:ilvl w:val="0"/>
          <w:numId w:val="3"/>
        </w:numPr>
        <w:spacing w:after="60"/>
      </w:pPr>
      <w:r>
        <w:t xml:space="preserve">Évaluation par le comité de formation continue selon les critères ci-dessus.</w:t>
      </w:r>
    </w:p>
    <w:p>
      <w:pPr>
        <w:pStyle w:val="ListParagraph"/>
        <w:numPr>
          <w:ilvl w:val="0"/>
          <w:numId w:val="3"/>
        </w:numPr>
        <w:spacing w:after="60"/>
      </w:pPr>
      <w:r>
        <w:t xml:space="preserve">Décision motivée communiquée au demandeur.</w:t>
      </w:r>
    </w:p>
    <w:p>
      <w:pPr>
        <w:pStyle w:val="ListParagraph"/>
        <w:numPr>
          <w:ilvl w:val="0"/>
          <w:numId w:val="3"/>
        </w:numPr>
        <w:spacing w:after="60"/>
      </w:pPr>
      <w:r>
        <w:t xml:space="preserve">Accréditation valide pour une période déterminée (p. ex. trois ans), renouvelable.</w:t>
      </w:r>
    </w:p>
    <w:p>
      <w:pPr>
        <w:pStyle w:val="ListParagraph"/>
        <w:numPr>
          <w:ilvl w:val="0"/>
          <w:numId w:val="3"/>
        </w:numPr>
        <w:spacing w:after="60"/>
      </w:pPr>
      <w:r>
        <w:t xml:space="preserve">Suivi de la qualité et rétroaction des participants.</w:t>
      </w:r>
    </w:p>
    <w:p>
      <w:pPr>
        <w:pStyle w:val="Heading2"/>
      </w:pPr>
      <w:r>
        <w:t xml:space="preserve">7. Bilinguisme</w:t>
      </w:r>
    </w:p>
    <w:p>
      <w:pPr>
        <w:spacing w:after="140"/>
      </w:pPr>
      <w:r>
        <w:t xml:space="preserve">L'Association favorise l'offre de formations dans les deux langues officielles et encourage les partenaires à rendre leur contenu accessible en français et en anglais.</w:t>
      </w:r>
    </w:p>
    <w:p>
      <w:pPr>
        <w:pStyle w:val="Heading2"/>
      </w:pPr>
      <w:r>
        <w:t xml:space="preserve">8. Registre et révision</w:t>
      </w:r>
    </w:p>
    <w:p>
      <w:pPr>
        <w:spacing w:after="140"/>
      </w:pPr>
      <w:r>
        <w:t xml:space="preserve">L'Association tient un registre des formations accréditées et révise périodiquement la présente politique.</w:t>
      </w:r>
    </w:p>
    <w:p>
      <w:pPr>
        <w:pBdr>
          <w:left w:val="single" w:color="B08A3E" w:sz="18" w:space="8"/>
        </w:pBdr>
        <w:shd w:fill="F4EEDD" w:val="clear"/>
        <w:spacing w:after="160" w:before="120"/>
      </w:pPr>
      <w:r>
        <w:t xml:space="preserve">Avis : Cette politique oriente la reconnaissance des formations. Toute entente de partenariat ou d'accréditation devrait être validée par un conseiller juridique du Nouveau-Brunswick.</w:t>
      </w:r>
    </w:p>
    <w:p>
      <w:r>
        <w:br w:type="page"/>
      </w:r>
    </w:p>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4"/>
        </w:numPr>
        <w:spacing w:after="60"/>
      </w:pPr>
      <w:r>
        <w:t xml:space="preserve">Submission of the proposal (title, format, objectives, duration, proposed CEUs, instructor qualifications).</w:t>
      </w:r>
    </w:p>
    <w:p>
      <w:pPr>
        <w:pStyle w:val="ListParagraph"/>
        <w:numPr>
          <w:ilvl w:val="0"/>
          <w:numId w:val="4"/>
        </w:numPr>
        <w:spacing w:after="60"/>
      </w:pPr>
      <w:r>
        <w:t xml:space="preserve">Review by the continuing-education committee against the above criteria.</w:t>
      </w:r>
    </w:p>
    <w:p>
      <w:pPr>
        <w:pStyle w:val="ListParagraph"/>
        <w:numPr>
          <w:ilvl w:val="0"/>
          <w:numId w:val="4"/>
        </w:numPr>
        <w:spacing w:after="60"/>
      </w:pPr>
      <w:r>
        <w:t xml:space="preserve">A reasoned decision communicated to the applicant.</w:t>
      </w:r>
    </w:p>
    <w:p>
      <w:pPr>
        <w:pStyle w:val="ListParagraph"/>
        <w:numPr>
          <w:ilvl w:val="0"/>
          <w:numId w:val="4"/>
        </w:numPr>
        <w:spacing w:after="60"/>
      </w:pPr>
      <w:r>
        <w:t xml:space="preserve">Accreditation valid for a set period (e.g. three years), renewable.</w:t>
      </w:r>
    </w:p>
    <w:p>
      <w:pPr>
        <w:pStyle w:val="ListParagraph"/>
        <w:numPr>
          <w:ilvl w:val="0"/>
          <w:numId w:val="4"/>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2026-10-29T08:04:33.088Z</dcterms:created>
  <dcterms:modified xsi:type="dcterms:W3CDTF">2026-10-29T08:04:33.088Z</dcterms:modified>
</cp:coreProperties>
</file>

<file path=docProps/custom.xml><?xml version="1.0" encoding="utf-8"?>
<Properties xmlns="http://schemas.openxmlformats.org/officeDocument/2006/custom-properties" xmlns:vt="http://schemas.openxmlformats.org/officeDocument/2006/docPropsVTypes"/>
</file>