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3326 mots.</w:t>
      </w:r>
    </w:p>
    <w:bookmarkStart w:id="20"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vite de son travail, présent ou passé et est donc renvoyé à une condition commune et partagée. Personne ou presque ne vit des revenus de son épargne, personne ou presque ne peut imaginer une vie sans travail.</w:t>
      </w:r>
    </w:p>
    <w:p>
      <w:pPr>
        <w:pStyle w:val="BodyText"/>
      </w:pPr>
      <w:r>
        <w:t xml:space="preserve">La stagnation des revenus des salariés depuis la crise de 2008 est donc un moment essentiel dans notre histoire économique. Nul besoin de faire appel à la période des 30 glorieuses, avec une nostalgie souvent exagérée, pour évoquer des périodes de croissance du pouvoir d’achat des salariés (graphique). La crise de 2008, la crise des dettes souveraines, les restrictions budgétaires pour absorber les déficits publics mais aussi le décrochage de la croissance dans l’Union Européenne par rapport aux Etats-Unis expliquent en partie cette stagnation. Après une accalmie entre 2017 et 2020, la crise sanitaire puis la seconde invasion de l’Ukraine par la Russie, la crise énergétique qui s’en est suivie ont à la fois pesé sur l’activité (la perte d’activité en Europe liée à la guerre en Ukraine est de l’ordre de 3 points de PIB) et sur les prix (les prix à la consommation ont augmenté de plus 15% entre 2020 et 2024). La combinaison à la fois d’une activité économique plutôt stagnante, en tout cas en décrochage avec d’autres économies développées, et d’épisodes conjoncturels brutaux se réduit très concrètement dans les revenus tirés du travail.</w:t>
      </w:r>
    </w:p>
    <w:p>
      <w:pPr>
        <w:pStyle w:val="BodyText"/>
      </w:pPr>
      <w:r>
        <w:t xml:space="preserve">La question que nous allons essayer de traiter dans cette contribution est celle des marges de manœuvre que la macroéconomie, en France comme en Europe, laisse pour répondre à cette crise du travail et de sa rémunération. Pour approcher cette question sous l’angle macroéconomique, la méthode est de chercher dans les évolutions récentes des marchés du travail, expression consacrée pour désigner la marchandisation du travail, ce qui pourrait constituer une anomalie qu’une politique volontariste pourrait vouloir corriger. Il s’agit d’un écho lointain aux analyses présentées dans ce numéro qui se fondent sur des observations plus directes des réalités du monde du travail. Mais les statistiques peuvent ici servir à relativiser et fournir un point de vue riche, d’autant que nous essayons de comparer la France à ses principaux voisins, qu’ils soient d’Europe du Sud ou plutôt d’Europe du Nord.</w:t>
      </w:r>
    </w:p>
    <w:p>
      <w:pPr>
        <w:pStyle w:val="BodyText"/>
      </w:pPr>
      <w:r>
        <w:t xml:space="preserve">A partir des données de comptabilité nationale, le partage de la valeur ajoutée nous donnera un diagnostic agrégé mais important : un rapport de force moins favorable aux salariés est sans doute à attendre des efforts de libéralisation et de flexibilisation des marchés du travail et aurait pu se traduire dans la mesure du partage. Nous verrons que la mise à jour des indicateurs de partage de la valeur ajoutée n’offrent pas beaucoup d’espoir quant à un rééquilibrage en faveur du travail. La discussion des notions de la comptabilité nationale et des systèmes fiscaux nationaux peuvent laisser entrevoir cependant ce qui pourrait être une nouvelle politique de l’offre.</w:t>
      </w:r>
    </w:p>
    <w:bookmarkEnd w:id="20"/>
    <w:bookmarkStart w:id="24" w:name="le-nouveau-monde"/>
    <w:p>
      <w:pPr>
        <w:pStyle w:val="Heading2"/>
      </w:pPr>
      <w:r>
        <w:t xml:space="preserve">Le nouveau monde</w:t>
      </w:r>
    </w:p>
    <w:p>
      <w:pPr>
        <w:pStyle w:val="FirstParagraph"/>
      </w:pPr>
      <w:r>
        <w:t xml:space="preserve">La flexibilisation des marchés du travail est à l’ordre du jour depuis les années 1980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r>
        <w:t xml:space="preserve">:</w:t>
      </w:r>
    </w:p>
    <w:p>
      <w:pPr>
        <w:numPr>
          <w:ilvl w:val="0"/>
          <w:numId w:val="1001"/>
        </w:numPr>
      </w:pPr>
      <w:r>
        <w:t xml:space="preserve">le chômage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1"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w:t>
                  </w:r>
                  \line 
                  <w:r>
                    <w:rPr>
                      <w:rFonts w:ascii="Calibri" w:hAnsi="Calibri"/>
                      <w:sz w:val="20"/>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\line 
                  <w:r>
                    <w:rPr>
                      <w:rFonts w:ascii="Calibri" w:hAnsi="Calibri"/>
                      <w:sz w:val="20"/>
                      <w:b w:val="true"/>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0.6%</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w:t>
                  </w:r>
                  \line 
                  <w:r>
                    <w:rPr>
                      <w:rFonts w:ascii="Calibri" w:hAnsi="Calibri"/>
                      <w:sz w:val="20"/>
                    </w:rPr>
                    <w:t xml:space="preserve">(2022)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\line 
                  <w:r>
                    <w:rPr>
                      <w:rFonts w:ascii="Calibri" w:hAnsi="Calibri"/>
                      <w:sz w:val="20"/>
                    </w:rPr>
                    <w:t xml:space="preserve"> (2008)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w:t>
                  </w:r>
                  \line 
                  <w:r>
                    <w:rPr>
                      <w:rFonts w:ascii="Calibri" w:hAnsi="Calibri"/>
                      <w:sz w:val="20"/>
                      <w:b w:val="true"/>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3.7%</w:t>
                  </w:r>
                  \line 
                  <w:r>
                    <w:rPr>
                      <w:rFonts w:ascii="Calibri" w:hAnsi="Calibri"/>
                      <w:sz w:val="20"/>
                    </w:rPr>
                    <w:t xml:space="preserve"> (2018)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w:t>
                  </w:r>
                  \line 
                  <w:r>
                    <w:rPr>
                      <w:rFonts w:ascii="Calibri" w:hAnsi="Calibri"/>
                      <w:sz w:val="20"/>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\line 
                  <w:r>
                    <w:rPr>
                      <w:rFonts w:ascii="Calibri" w:hAnsi="Calibri"/>
                      <w:sz w:val="20"/>
                    </w:rPr>
                    <w:t xml:space="preserve"> (2019)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6.8%</w:t>
                  </w:r>
                  \line 
                  <w:r>
                    <w:rPr>
                      <w:rFonts w:ascii="Calibri" w:hAnsi="Calibri"/>
                      <w:sz w:val="20"/>
                      <w:b w:val="true"/>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6.3%</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11%</w:t>
                  </w:r>
                  \line 
                  <w:r>
                    <w:rPr>
                      <w:rFonts w:ascii="Calibri" w:hAnsi="Calibri"/>
                      <w:sz w:val="20"/>
                      <w:b w:val="true"/>
                    </w:rPr>
                    <w:t xml:space="preserve"> (2012)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11.5%</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7.9%</w:t>
                  </w:r>
                  \line 
                  <w:r>
                    <w:rPr>
                      <w:rFonts w:ascii="Calibri" w:hAnsi="Calibri"/>
                      <w:sz w:val="20"/>
                    </w:rPr>
                    <w:t xml:space="preserve"> (2010)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5.1%</w:t>
                  </w:r>
                  \line 
                  <w:r>
                    <w:rPr>
                      <w:rFonts w:ascii="Calibri" w:hAnsi="Calibri"/>
                      <w:sz w:val="20"/>
                      <w:b w:val="true"/>
                    </w:rPr>
                    <w:t xml:space="preserve">(2008)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5.9%</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7.8%</w:t>
                  </w:r>
                  \line 
                  <w:r>
                    <w:rPr>
                      <w:rFonts w:ascii="Calibri" w:hAnsi="Calibri"/>
                      <w:sz w:val="20"/>
                      <w:b w:val="true"/>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20.3%</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6.6%</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6.5%</w:t>
                  </w:r>
                  \line 
                  <w:r>
                    <w:rPr>
                      <w:rFonts w:ascii="Calibri" w:hAnsi="Calibri"/>
                      <w:sz w:val="20"/>
                    </w:rPr>
                    <w:t xml:space="preserve"> (2015)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2.3%</w:t>
                  </w:r>
                  \line 
                  <w:r>
                    <w:rPr>
                      <w:rFonts w:ascii="Calibri" w:hAnsi="Calibri"/>
                      <w:sz w:val="20"/>
                    </w:rPr>
                    <w:t xml:space="preserve">(2002)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2.7%</w:t>
                  </w:r>
                  \line 
                  <w:r>
                    <w:rPr>
                      <w:rFonts w:ascii="Calibri" w:hAnsi="Calibri"/>
                      <w:sz w:val="20"/>
                      <w:b w:val="true"/>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\line 
                  <w:r>
                    <w:rPr>
                      <w:rFonts w:ascii="Calibri" w:hAnsi="Calibri"/>
                      <w:sz w:val="20"/>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1.6%</w:t>
                  </w:r>
                  \line 
                  <w:r>
                    <w:rPr>
                      <w:rFonts w:ascii="Calibri" w:hAnsi="Calibri"/>
                      <w:sz w:val="20"/>
                    </w:rPr>
                    <w:t xml:space="preserve">(1996)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4.9%</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\line 
                  <w:r>
                    <w:rPr>
                      <w:rFonts w:ascii="Calibri" w:hAnsi="Calibri"/>
                      <w:sz w:val="20"/>
                    </w:rPr>
                    <w:t xml:space="preserve">(1995)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5.6%</w:t>
                  </w:r>
                  \line 
                  <w:r>
                    <w:rPr>
                      <w:rFonts w:ascii="Calibri" w:hAnsi="Calibri"/>
                      <w:sz w:val="20"/>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5.5%</w:t>
                  </w:r>
                  \line 
                  <w:r>
                    <w:rPr>
                      <w:rFonts w:ascii="Calibri" w:hAnsi="Calibri"/>
                      <w:sz w:val="20"/>
                      <w:b w:val="true"/>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w:t>
                  </w:r>
                  \line 
                  <w:r>
                    <w:rPr>
                      <w:rFonts w:ascii="Calibri" w:hAnsi="Calibri"/>
                      <w:sz w:val="20"/>
                    </w:rPr>
                    <w:t xml:space="preserve"> (2004)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w:t>
                  </w:r>
                  \line 
                  <w:r>
                    <w:rPr>
                      <w:rFonts w:ascii="Calibri" w:hAnsi="Calibri"/>
                      <w:sz w:val="20"/>
                    </w:rPr>
                    <w:t xml:space="preserve"> (2022)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11.3%</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12.2%</w:t>
                  </w:r>
                  \line 
                  <w:r>
                    <w:rPr>
                      <w:rFonts w:ascii="Calibri" w:hAnsi="Calibri"/>
                      <w:sz w:val="20"/>
                      <w:b w:val="true"/>
                    </w:rPr>
                    <w:t xml:space="preserve">(2013)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14.8%</w:t>
                  </w:r>
                  \line 
                  <w:r>
                    <w:rPr>
                      <w:rFonts w:ascii="Calibri" w:hAnsi="Calibri"/>
                      <w:sz w:val="20"/>
                    </w:rPr>
                    <w:t xml:space="preserve">(2012)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w:t>
                  </w:r>
                  \line 
                  <w:r>
                    <w:rPr>
                      <w:rFonts w:ascii="Calibri" w:hAnsi="Calibri"/>
                      <w:sz w:val="20"/>
                    </w:rPr>
                    <w:t xml:space="preserve">(2004)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10.3%</w:t>
                  </w:r>
                  \line 
                  <w:r>
                    <w:rPr>
                      <w:rFonts w:ascii="Calibri" w:hAnsi="Calibri"/>
                      <w:sz w:val="20"/>
                    </w:rPr>
                    <w:t xml:space="preserve">(1996)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15.5%</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16.6%</w:t>
                  </w:r>
                  \line 
                  <w:r>
                    <w:rPr>
                      <w:rFonts w:ascii="Calibri" w:hAnsi="Calibri"/>
                      <w:sz w:val="20"/>
                      <w:b w:val="true"/>
                    </w:rPr>
                    <w:t xml:space="preserve"> (2001)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12.6%</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28.1%</w:t>
                  </w:r>
                  \line 
                  <w:r>
                    <w:rPr>
                      <w:rFonts w:ascii="Calibri" w:hAnsi="Calibri"/>
                      <w:sz w:val="20"/>
                    </w:rPr>
                    <w:t xml:space="preserve"> (1998)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19.3%</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13.8%</w:t>
                  </w:r>
                  \line 
                  <w:r>
                    <w:rPr>
                      <w:rFonts w:ascii="Calibri" w:hAnsi="Calibri"/>
                      <w:sz w:val="20"/>
                    </w:rPr>
                    <w:t xml:space="preserve"> (2000)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1"/>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La France se situe dans une position basse en terme de rémunération brute globale, pour la moyenne des salariés à temps complet et à temps partiel. La différence est notable avec la Belgique, ce qui traduit, entre autres, une structure productive et une productivité plus élevée en Belgique. Comparé à l’Allemagne, l’Italie ou les Pays-Bas, la France affiche une rémunération proche, ce qui relativise toutes les comparaisons de productivité relative que l’on peut faire entre ces pays.</w:t>
      </w:r>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Les Pays-Bas affichent une forte inégalité (le ratio interdécile est de 15 contre 6 en France). Ces éléments suggèrent que les marges en France sont plus faibles que dans les autres pays. Cela n’implique pas qu’il n’y en pas, l’écart de rémunération entre les femmes et les hommes ne reflète ni un choix ni une moindre productivité des femmes. Mais il est illusoire de cherhcer dans la répartition des rémunarations entre salariés une solution à la crise des rémunérations, ce qui est, au moins comparativement, beaucoup moins le cas aux pays-Bas, où le temps partiel et son inégale répartition induit des inégalités massives dans la situation des travailleurs.</w:t>
      </w:r>
    </w:p>
    <w:tbl>
      <w:tblPr>
        <w:tblStyle w:val="Table"/>
        <w:tblW w:type="pct" w:w="5000"/>
        <w:tblLayout w:type="fixed"/>
        <w:tblLook w:firstRow="0" w:lastRow="0" w:firstColumn="0" w:lastColumn="0" w:noHBand="0" w:noVBand="0" w:val="0000"/>
      </w:tblPr>
      <w:tblGrid>
        <w:gridCol w:w="7920"/>
      </w:tblGrid>
      <w:tr>
        <w:tc>
          <w:tcPr/>
          <w:bookmarkStart w:id="23" w:name="tbl-earn"/>
          <w:p>
            <w:pPr>
              <w:jc w:val="center"/>
            </w:pPr>
            <w:pPr>
              <w:jc w:val="start"/>
              <w:spacing w:before="200"/>
              <w:pStyle w:val="ImageCaption"/>
            </w:pPr>
            <w:r>
              <w:t xml:space="preserve">Table 2: Strucuture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4"/>
    <w:bookmarkStart w:id="35"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1</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 Ce choix réduit les problèmes de comparaison internationale, puisque, malgré les règles du Système de Comptes Nationaux (SNA), des conventions différentes existent entre pays sur ce qui est in investissement ou une consommation intermédiaire. Ici, en supposant que la dépréciation est</w:t>
      </w:r>
      <w:r>
        <w:t xml:space="preserve"> </w:t>
      </w:r>
      <w:r>
        <w:t xml:space="preserve">“correctement”</w:t>
      </w:r>
      <w:r>
        <w:t xml:space="preserve"> </w:t>
      </w:r>
      <w:r>
        <w:t xml:space="preserve">calculée, la convention choisit efface ces différences de définition comptable. La valeur ajoutée nette permet également de mieux comparer des pays qui ont des structures productives très différentes : L’industrie a un poids important dans l’économie Allemande et implique plus de capital qu’en France. La consommation de capital fixe y est donc plus importante en ratio de la valeur ajoutée brute, ce qui pourrait laisser croire une rémunération plus importante du capital en Allemagne qu’en France alors que ce n’est pas (nécessairement) le cas.</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très simplifiée, ce revenu est comptabilisé dans le revenu des ménages (revenu mixte). Pourtant, on peut considérer que ce n’est pas une rémunération du capital, mais que cela doit être traité comme un quasi-salaire, d’autant qu’il est souvent soumis à cotisations sociales. Le choix retenu ici est d’affecter aux non salariés le salaire moyen des salariés de la même branche, ce qui est une approximation commode mais qui néglige les différences d’activités entre salariés et non salariés dans une même branche. Le non salariat empêche également de mesurer la consommation de capital fixe lorsque la structure juridique est trop simple pour répertorier le capital productif dans le bilan ou les flux d’investissement dans le compte d’exploitation. Cette correction est néanmoins critique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y compris celle imputée des ménages propriétaires et que la notion de travail y est difficile à comparer avec les autres branches. Cette difficulté ouvre cependant des interrogations majeures sur la signification à la fois de la valeur ajoutée et des profits comme nous le discutons plus loin.</w:t>
      </w:r>
    </w:p>
    <w:bookmarkStart w:id="29" w:name="cell-fig-sal"/>
    <w:tbl>
      <w:tblPr>
        <w:tblStyle w:val="Table"/>
        <w:tblW w:type="pct" w:w="5000"/>
        <w:tblLayout w:type="fixed"/>
        <w:tblLook w:firstRow="0" w:lastRow="0" w:firstColumn="0" w:lastColumn="0" w:noHBand="0" w:noVBand="0" w:val="0000"/>
      </w:tblPr>
      <w:tblGrid>
        <w:gridCol w:w="7920"/>
      </w:tblGrid>
      <w:tr>
        <w:tc>
          <w:tcPr/>
          <w:bookmarkStart w:id="28" w:name="fig-sal"/>
          <w:p>
            <w:pPr>
              <w:pStyle w:val="Compact"/>
              <w:jc w:val="center"/>
            </w:pPr>
            <w:r>
              <w:drawing>
                <wp:inline>
                  <wp:extent cx="4620126" cy="8085221"/>
                  <wp:effectExtent b="0" l="0" r="0" t="0"/>
                  <wp:docPr descr="" title="" id="26" name="Picture"/>
                  <a:graphic>
                    <a:graphicData uri="http://schemas.openxmlformats.org/drawingml/2006/picture">
                      <pic:pic>
                        <pic:nvPicPr>
                          <pic:cNvPr descr="travail_files/figure-docx/fig-sal-1.png" id="27" name="Picture"/>
                          <pic:cNvPicPr>
                            <a:picLocks noChangeArrowheads="1" noChangeAspect="1"/>
                          </pic:cNvPicPr>
                        </pic:nvPicPr>
                        <pic:blipFill>
                          <a:blip r:embed="rId25"/>
                          <a:stretch>
                            <a:fillRect/>
                          </a:stretch>
                        </pic:blipFill>
                        <pic:spPr bwMode="auto">
                          <a:xfrm>
                            <a:off x="0" y="0"/>
                            <a:ext cx="4620126" cy="80852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 des salaires dans la valeur ajoutée nette</w:t>
            </w:r>
          </w:p>
          <w:bookmarkEnd w:id="28"/>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9"/>
    <w:p>
      <w:pPr>
        <w:pStyle w:val="BodyText"/>
      </w:pPr>
      <w:r>
        <w:t xml:space="preserve">Le</w:t>
      </w:r>
      <w:r>
        <w:t xml:space="preserve"> </w:t>
      </w:r>
      <w:hyperlink w:anchor="fig-sal">
        <w:r>
          <w:rPr>
            <w:rStyle w:val="Hyperlink"/>
          </w:rPr>
          <w:t xml:space="preserve">Figure 1</w:t>
        </w:r>
      </w:hyperlink>
      <w:r>
        <w:t xml:space="preserve"> </w:t>
      </w:r>
      <w:r>
        <w:t xml:space="preserve">indique des parts des salaires dans la valeur ajoutée nette à des niveaux comparables – dans un intervale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Une première conclusion de l’examen de la part des salaires dans la valeur ajoutée est qu’il n’existe pas en France de perspectives agrégées de redressement des salaires sans hausse de la valeur ajoutée, qu’elle vienne de gains de productivité ou d’une hausse du nombre d’heure travaillées. Le seul pays dans lequel on peut identifier un potentiel sont les Pays-Bas, où on a vue l’importance du temps partiel dans les inégalités salariales. Les Pays-Bas peuvent cependant poser un problème de localisation des entreprises résidentes. En effet, pour bénéficier d’une taxation avantageuse sur les plus-values, de nombreux groupes localisent leur holding de tête dans ce pays. Cela peut conduire à biaiser la mesure aux Pays-Bas, gonflant la valeur ajoutée par des prix de transfert important, et donc la réduisant d’autant dans les autres pays. Ce processus délétère peut être à l’origine de la tendance à la baisse de la part de la valeur ajoutée aux Pays-Bas.</w:t>
      </w:r>
    </w:p>
    <w:p>
      <w:pPr>
        <w:pStyle w:val="BodyText"/>
      </w:pPr>
      <w:r>
        <w:t xml:space="preserve">La somme de l’impôt sur les sociétés et des impôts de production net des subventions réduit encore la marge de manœuvre en France. Dans quelques pays, les impôts nets des subventions sont assez fluctuants (en Allemagne, aux Pays-Bas ou en Belgique) ce qui traduit un changement de conditions fiscales rendant difficile la concurrence à l’intérieur du marché unique.</w:t>
      </w:r>
    </w:p>
    <w:p>
      <w:pPr>
        <w:pStyle w:val="BodyText"/>
      </w:pPr>
      <w:r>
        <w:t xml:space="preserve">Le</w:t>
      </w:r>
      <w:r>
        <w:t xml:space="preserve"> </w:t>
      </w:r>
      <w:hyperlink w:anchor="fig-rendement">
        <w:r>
          <w:rPr>
            <w:rStyle w:val="Hyperlink"/>
          </w:rPr>
          <w:t xml:space="preserve">Figure 2</w:t>
        </w:r>
      </w:hyperlink>
      <w:r>
        <w:t xml:space="preserve"> </w:t>
      </w:r>
      <w:r>
        <w:t xml:space="preserve">complète l’analyse en calculant la part des profits, nets des impôts (nets des subventions), rapporté à la valeur des actifs productifs. Cette notion correspond à un taux de rendement du capital productif. Elle permet de mieux comparer des économies aux structures productives très différentes. L’industrie en Allemagne s’accompagne d’un important stock de capital, qui peut justifier en partie une part des salaires plus faible, alors qu’une économie nécessitant moins de capital.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p>
      <w:pPr>
        <w:pStyle w:val="BodyText"/>
      </w:pPr>
      <w:r>
        <w:t xml:space="preserve">Les taux de rendement souligne la situation complexe de l’économie Française et ne laisse pas entre-apercevoir de marges de manœuvre.</w:t>
      </w:r>
    </w:p>
    <w:bookmarkStart w:id="34" w:name="cell-fig-rendement"/>
    <w:tbl>
      <w:tblPr>
        <w:tblStyle w:val="Table"/>
        <w:tblW w:type="pct" w:w="5000"/>
        <w:tblLayout w:type="fixed"/>
        <w:tblLook w:firstRow="0" w:lastRow="0" w:firstColumn="0" w:lastColumn="0" w:noHBand="0" w:noVBand="0" w:val="0000"/>
      </w:tblPr>
      <w:tblGrid>
        <w:gridCol w:w="7920"/>
      </w:tblGrid>
      <w:tr>
        <w:tc>
          <w:tcPr/>
          <w:bookmarkStart w:id="33" w:name="fig-rendement"/>
          <w:p>
            <w:pPr>
              <w:pStyle w:val="Compact"/>
              <w:jc w:val="center"/>
            </w:pPr>
            <w:r>
              <w:drawing>
                <wp:inline>
                  <wp:extent cx="4620126" cy="6468176"/>
                  <wp:effectExtent b="0" l="0" r="0" t="0"/>
                  <wp:docPr descr="" title="" id="31" name="Picture"/>
                  <a:graphic>
                    <a:graphicData uri="http://schemas.openxmlformats.org/drawingml/2006/picture">
                      <pic:pic>
                        <pic:nvPicPr>
                          <pic:cNvPr descr="travail_files/figure-docx/fig-rendement-1.png" id="32" name="Picture"/>
                          <pic:cNvPicPr>
                            <a:picLocks noChangeArrowheads="1" noChangeAspect="1"/>
                          </pic:cNvPicPr>
                        </pic:nvPicPr>
                        <pic:blipFill>
                          <a:blip r:embed="rId3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Taux de rendement nominal du capital productif après impôts</w:t>
            </w:r>
          </w:p>
          <w:bookmarkEnd w:id="3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4"/>
    <w:bookmarkEnd w:id="35"/>
    <w:bookmarkStart w:id="47" w:name="une-nouvelle-politique-de-loffre"/>
    <w:p>
      <w:pPr>
        <w:pStyle w:val="Heading2"/>
      </w:pPr>
      <w:r>
        <w:t xml:space="preserve">Une nouvelle politique de l’offre ?</w:t>
      </w:r>
    </w:p>
    <w:p>
      <w:pPr>
        <w:pStyle w:val="FirstParagraph"/>
      </w:pPr>
      <w:r>
        <w:t xml:space="preserve">Ce tableau pourrait paraître désespérant, d’autant depuis François Hollande et plus encore avec Emmanuel Macron, la France s’est engagée dans une politique de l’offre, accroissant les subventions et les allègements de cotisations sociales (dont le CICE), prolongée par la baisse de l’impôt sur les sociétés et une réduction progressive des impôts de production. Or le</w:t>
      </w:r>
      <w:r>
        <w:t xml:space="preserve"> </w:t>
      </w:r>
      <w:hyperlink w:anchor="fig-rendement">
        <w:r>
          <w:rPr>
            <w:rStyle w:val="Hyperlink"/>
          </w:rPr>
          <w:t xml:space="preserve">Figure 2</w:t>
        </w:r>
      </w:hyperlink>
      <w:r>
        <w:t xml:space="preserve"> </w:t>
      </w:r>
      <w:r>
        <w:t xml:space="preserve">suggère que cette politique de l’offre n’a pas permis de restaurer le rendement du capital et que ces politiques ont poursuivi un objectif qui s’éloigne de plus en plus. Il est important de rappeler que, 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w:t>
      </w:r>
    </w:p>
    <w:p>
      <w:pPr>
        <w:pStyle w:val="BodyText"/>
      </w:pPr>
      <w:r>
        <w:t xml:space="preserve">Au-delà de cette fuite interne et de la transformation d’un discours axé sur le tissu productif en des actions favorisant les individus qui détiennent du capital, il est possible qu’une fuite externe bloque également la situation productive en France. L’espace du marché unique s’est construit sans une uniformisation des fiscalités et conduit à des stratégies d’optimisation fiscale par des localisations non pas des centres de production mais des centres</w:t>
      </w:r>
      <w:r>
        <w:t xml:space="preserve"> </w:t>
      </w:r>
      <w:r>
        <w:t xml:space="preserve">“comptables”</w:t>
      </w:r>
      <w:r>
        <w:t xml:space="preserve"> </w:t>
      </w:r>
      <w:r>
        <w:t xml:space="preserve">dans les pays les plus attractifs. Les prix de transfert, prix utilisés dans la facturation interne enles différentes entités d’un même groupe, sont ainsi un moyen de déplacer de la valeur ajoutée, et donc du profit, d’un pays à un autre, sans qu’une usine ne bouge. Il existe bien sûr des limites à l’utilisation des prix de transfert, mais ceux ci sont difficiles à contrôler dès qu’il s’agit de facturer une propriété intangible comme une marque ou un brevet. Ce point a été fait par</w:t>
      </w:r>
      <w:r>
        <w:t xml:space="preserve"> </w:t>
      </w:r>
      <w:r>
        <w:t xml:space="preserve">(Tørsløv, Wier, and Zucman 2022)</w:t>
      </w:r>
      <w:r>
        <w:t xml:space="preserve"> </w:t>
      </w:r>
      <w:r>
        <w:t xml:space="preserve">pour les taux de profits jusqu’en 2016 et l’évolution du taux de profit en France indique que le processus s’est prolongé.</w:t>
      </w:r>
    </w:p>
    <w:p>
      <w:pPr>
        <w:pStyle w:val="BodyText"/>
      </w:pPr>
      <w:r>
        <w:t xml:space="preserve">Un autre mécanisme de fuite fiscale, à la fois interne et externe, échappe à notre analyse : il s’agit de l’utilisation du foncier comme moyen de transformer la valeur ajoutée productive en plus-values immobilières. Patrick Drahi a ainsi beaucoup recourru à ces schémas afin d’échapper à la taxation les profits générés par des activités productives, en faisant payer un loyer élevé et en transférant la valeur créée dans des sociétés foncières. Celles-ci peuvent avoir des régimes fiscaux particuliers autorisant la capitalisation et l’extinction de la plus-value.</w:t>
      </w:r>
    </w:p>
    <w:p>
      <w:pPr>
        <w:pStyle w:val="BodyText"/>
      </w:pPr>
      <w:r>
        <w:t xml:space="preserve">Ces schémas perturbent possiblement le diagnostic établi ici. En transférant la valeur créée vers d’autres pays ou vers un actif foncier à la fiscalité particulière, ils mettent sous pression le système productif, évaporent la base fiscale et contraignent l’austérité salariale.</w:t>
      </w:r>
    </w:p>
    <w:p>
      <w:pPr>
        <w:pStyle w:val="BodyText"/>
      </w:pPr>
      <w:r>
        <w:t xml:space="preserve">Il reste visiblement un travail important pour établir la preuve complète de ce qui n’est pour le moment qu’une hypothèse. Mais, en attendant, une politique de l’offre renouvelée viserait 1. d’alléger la fiscalité du capital productif tout en alourdissant celle du patrimoine, 2. d’uniformiser la fiscalité européenne afin de mettre fin à une spirale mortifère et 3. en reformant profondément la fiscalité foncière et immobilière pour que cesse cette forme perverse d’optimisation fiscale, encore accentuée par l’espace de libre circulation des capitaux.</w:t>
      </w:r>
    </w:p>
    <w:bookmarkStart w:id="46" w:name="refs"/>
    <w:bookmarkStart w:id="37"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36">
        <w:r>
          <w:rPr>
            <w:rStyle w:val="Hyperlink"/>
          </w:rPr>
          <w:t xml:space="preserve">https://doi.org/10.4000/travailemploi.9068</w:t>
        </w:r>
      </w:hyperlink>
      <w:r>
        <w:t xml:space="preserve">.</w:t>
      </w:r>
    </w:p>
    <w:bookmarkEnd w:id="37"/>
    <w:bookmarkStart w:id="39"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38">
        <w:r>
          <w:rPr>
            <w:rStyle w:val="Hyperlink"/>
          </w:rPr>
          <w:t xml:space="preserve">https://doi.org/10.3917/dec.asken.2011.01</w:t>
        </w:r>
      </w:hyperlink>
      <w:r>
        <w:t xml:space="preserve">.</w:t>
      </w:r>
    </w:p>
    <w:bookmarkEnd w:id="39"/>
    <w:bookmarkStart w:id="41"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Répulique Française.</w:t>
      </w:r>
      <w:r>
        <w:t xml:space="preserve"> </w:t>
      </w:r>
      <w:hyperlink r:id="rId40">
        <w:r>
          <w:rPr>
            <w:rStyle w:val="Hyperlink"/>
          </w:rPr>
          <w:t xml:space="preserve">https://www.vie-publique.fr/rapport/30455-partage-valeur-ajoutee-partage-profits-et-ecarts-de-remuneration</w:t>
        </w:r>
      </w:hyperlink>
      <w:r>
        <w:t xml:space="preserve">.</w:t>
      </w:r>
    </w:p>
    <w:bookmarkEnd w:id="41"/>
    <w:bookmarkStart w:id="43"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42">
        <w:r>
          <w:rPr>
            <w:rStyle w:val="Hyperlink"/>
          </w:rPr>
          <w:t xml:space="preserve">https://doi.org/10.3917/dec.girau.2022.01.0045</w:t>
        </w:r>
      </w:hyperlink>
      <w:r>
        <w:t xml:space="preserve">.</w:t>
      </w:r>
    </w:p>
    <w:bookmarkEnd w:id="43"/>
    <w:bookmarkStart w:id="45"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44">
        <w:r>
          <w:rPr>
            <w:rStyle w:val="Hyperlink"/>
          </w:rPr>
          <w:t xml:space="preserve">https://doi.org/10.1093/restud/rdac049</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44" Target="https://doi.org/10.1093/restud/rdac049" TargetMode="External" /><Relationship Type="http://schemas.openxmlformats.org/officeDocument/2006/relationships/hyperlink" Id="rId38" Target="https://doi.org/10.3917/dec.asken.2011.01" TargetMode="External" /><Relationship Type="http://schemas.openxmlformats.org/officeDocument/2006/relationships/hyperlink" Id="rId42" Target="https://doi.org/10.3917/dec.girau.2022.01.0045" TargetMode="External" /><Relationship Type="http://schemas.openxmlformats.org/officeDocument/2006/relationships/hyperlink" Id="rId36" Target="https://doi.org/10.4000/travailemploi.9068" TargetMode="External" /><Relationship Type="http://schemas.openxmlformats.org/officeDocument/2006/relationships/hyperlink" Id="rId40" Target="https://www.vie-publique.fr/rapport/30455-partage-valeur-ajoutee-partage-profits-et-ecarts-de-remuneration" TargetMode="External" /><Relationship Type="http://schemas.openxmlformats.org/officeDocument/2006/relationships/hyperlink" Id="rId22"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restud/rdac049" TargetMode="External" /><Relationship Type="http://schemas.openxmlformats.org/officeDocument/2006/relationships/hyperlink" Id="rId38" Target="https://doi.org/10.3917/dec.asken.2011.01" TargetMode="External" /><Relationship Type="http://schemas.openxmlformats.org/officeDocument/2006/relationships/hyperlink" Id="rId42" Target="https://doi.org/10.3917/dec.girau.2022.01.0045" TargetMode="External" /><Relationship Type="http://schemas.openxmlformats.org/officeDocument/2006/relationships/hyperlink" Id="rId36" Target="https://doi.org/10.4000/travailemploi.9068" TargetMode="External" /><Relationship Type="http://schemas.openxmlformats.org/officeDocument/2006/relationships/hyperlink" Id="rId40" Target="https://www.vie-publique.fr/rapport/30455-partage-valeur-ajoutee-partage-profits-et-ecarts-de-remuneration" TargetMode="External" /><Relationship Type="http://schemas.openxmlformats.org/officeDocument/2006/relationships/hyperlink" Id="rId22"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2025-01-20T15:55:05Z</dcterms:created>
  <dcterms:modified xsi:type="dcterms:W3CDTF">2025-01-20T15:55:05Z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3326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