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3323 mots.</w:t>
      </w:r>
    </w:p>
    <w:bookmarkStart w:id="20" w:name="revaloriser-le-travail"/>
    <w:p>
      <w:pPr>
        <w:pStyle w:val="Heading2"/>
      </w:pPr>
      <w:r>
        <w:t xml:space="preserve">Revaloriser le travail</w:t>
      </w:r>
    </w:p>
    <w:p>
      <w:pPr>
        <w:pStyle w:val="FirstParagraph"/>
      </w:pPr>
      <w:r>
        <w:t xml:space="preserve">L’ensemble de ce numéro d’Economie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 riches sont peut être la manifestation la plus visible, chacun vite de son travail, présent ou passé et est donc renvoyé à une condition commune et partagée. Personne ou presque ne vit des revenus de son épargne, personne ou presque ne peut imaginer une vie sans travail.</w:t>
      </w:r>
    </w:p>
    <w:p>
      <w:pPr>
        <w:pStyle w:val="BodyText"/>
      </w:pPr>
      <w:r>
        <w:t xml:space="preserve">La stagnation des revenus des salariés depuis la crise de 2008 est donc un moment essentiel dans notre histoire économique. Nul besoin de faire appel à la période des 30 glorieuses, avec une nostalgie souvent exagérée, pour évoquer des périodes de croissance du pouvoir d’achat des salariés (graphique). La crise de 2008, la crise des dettes souveraines, les restrictions budgétaires pour absorber les déficits publics mais aussi le décrochage de la croissance dans l’Union Européenne par rapport aux Etats-Unis expliquent en partie cette stagnation. Après une accalmie entre 2017 et 2020, la crise sanitaire puis la seconde invasion de l’Ukraine par la Russie, la crise énergétique qui s’en est suivie ont à la fois pesé sur l’activité (la perte d’activité en Europe liée à la guerre en Ukraine est de l’ordre de 3 points de PIB) et sur les prix (les prix à la consommation ont augmenté de plus 15% entre 2020 et 2024). La combinaison à la fois d’une activité économique plutôt stagnante, en tout cas en décrochage avec d’autres économies développées, et d’épisodes conjoncturels brutaux se réduit très concrètement dans les revenus tirés du travail.</w:t>
      </w:r>
    </w:p>
    <w:p>
      <w:pPr>
        <w:pStyle w:val="BodyText"/>
      </w:pPr>
      <w:r>
        <w:t xml:space="preserve">La question que nous allons essayer de traiter dans cette contribution est celle des marges de manœuvre que la macroéconomie, en France comme en Europe, laisse pour répondre à cette crise du travail et de sa rémunération. Pour approcher cette question sous l’angle macroéconomique, la méthode est de chercher dans les évolutions récentes des marchés du travail, expression consacrée pour désigner la marchandisation du travail, ce qui pourrait constituer une anomalie qu’une politique volontariste pourrait vouloir corriger. Il s’agit d’un écho lointain aux analyses présentées dans ce numéro qui se fondent sur des observations plus directes des réalités du monde du travail. Mais les statistiques peuvent ici servir à relativiser et fournir un point de vue riche, d’autant que nous essayons de comparer la France à ses principaux voisins, qu’ils soient d’Europe du Sud ou plutôt d’Europe du Nord.</w:t>
      </w:r>
    </w:p>
    <w:p>
      <w:pPr>
        <w:pStyle w:val="BodyText"/>
      </w:pPr>
      <w:r>
        <w:t xml:space="preserve">A partir des données de comptabilité nationale, le partage de la valeur ajoutée nous donnera un diagnostic agrégé mais important : un rapport de force moins favorable aux salariés est sans doute à attendre des efforts de libéralisation et de flexibilisation des marchés du travail et aurait pu se traduire dans la mesure du partage. Nous verrons que la mise à jour des indicateurs de partage de la valeur ajoutée n’offrent pas beaucoup d’espoir quant à un rééquilibrage en faveur du travail. La discussion des notions de la comptabilité nationale et des systèmes fiscaux nationaux peuvent laisser entrevoir cependant ce qui pourrait être une nouvelle politique de l’offre.</w:t>
      </w:r>
    </w:p>
    <w:bookmarkEnd w:id="20"/>
    <w:bookmarkStart w:id="24" w:name="le-nouveau-monde"/>
    <w:p>
      <w:pPr>
        <w:pStyle w:val="Heading2"/>
      </w:pPr>
      <w:r>
        <w:t xml:space="preserve">Le nouveau monde</w:t>
      </w:r>
    </w:p>
    <w:p>
      <w:pPr>
        <w:pStyle w:val="FirstParagraph"/>
      </w:pPr>
      <w:r>
        <w:t xml:space="preserve">La flexibilisation des marchés du travail est à l’ordre du jour depuis les années 1980 [</w:t>
      </w:r>
      <w:r>
        <w:t xml:space="preserve">(Lima and Tuchszirer 2022)</w:t>
      </w:r>
      <w:r>
        <w:t xml:space="preserve">].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Le</w:t>
      </w:r>
      <w:r>
        <w:t xml:space="preserve"> </w:t>
      </w:r>
      <w:hyperlink w:anchor="tbl-chomage">
        <w:r>
          <w:rPr>
            <w:rStyle w:val="Hyperlink"/>
          </w:rPr>
          <w:t xml:space="preserve">Table 1</w:t>
        </w:r>
      </w:hyperlink>
      <w:r>
        <w:t xml:space="preserve"> </w:t>
      </w:r>
      <w:r>
        <w:t xml:space="preserve">donne quelques indicateurs choisis pour 6 pays européens pour la période 1995-2023. Quelques faits résument les évolutions (une analyse plus détaillée est faite par</w:t>
      </w:r>
      <w:r>
        <w:t xml:space="preserve"> </w:t>
      </w:r>
      <w:r>
        <w:t xml:space="preserve">(Askenazy et al. 2019)</w:t>
      </w:r>
      <w:r>
        <w:t xml:space="preserve"> </w:t>
      </w:r>
      <w:r>
        <w:t xml:space="preserve">:</w:t>
      </w:r>
    </w:p>
    <w:p>
      <w:pPr>
        <w:numPr>
          <w:ilvl w:val="0"/>
          <w:numId w:val="1001"/>
        </w:numPr>
      </w:pPr>
      <w:r>
        <w:t xml:space="preserve">le chômage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tbl>
      <w:tblPr>
        <w:tblStyle w:val="Table"/>
        <w:tblW w:type="pct" w:w="5000"/>
        <w:tblLayout w:type="fixed"/>
        <w:tblLook w:firstRow="0" w:lastRow="0" w:firstColumn="0" w:lastColumn="0" w:noHBand="0" w:noVBand="0" w:val="0000"/>
      </w:tblPr>
      <w:tblGrid>
        <w:gridCol w:w="7920"/>
      </w:tblGrid>
      <w:tr>
        <w:tc>
          <w:tcPr/>
          <w:bookmarkStart w:id="21" w:name="tbl-chomage"/>
          <w:p>
            <w:pPr>
              <w:jc w:val="center"/>
            </w:pPr>
            <w:pPr>
              <w:jc w:val="start"/>
              <w:spacing w:before="200"/>
              <w:pStyle w:val="ImageCaption"/>
            </w:pPr>
            <w:r>
              <w:t xml:space="preserve">Table 1: Indicateurs du</w:t>
            </w:r>
            <w:r>
              <w:t xml:space="preserve"> </w:t>
            </w:r>
            <w:r>
              <w:t xml:space="preserve">“marché du travail”</w:t>
            </w:r>
            <w:r>
              <w:t xml:space="preserve">, 1995-2023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France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Espagne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Pays-Bas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Belgique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contrat de moins de 3 mois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w:t>
                  </w:r>
                  \line 
                  <w:r>
                    <w:rPr>
                      <w:rFonts w:ascii="Calibri" w:hAnsi="Calibri"/>
                      <w:sz w:val="20"/>
                    </w:rPr>
                    <w:t xml:space="preserve">(2021)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\line 
                  <w:r>
                    <w:rPr>
                      <w:rFonts w:ascii="Calibri" w:hAnsi="Calibri"/>
                      <w:sz w:val="20"/>
                      <w:b w:val="true"/>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0.6%</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w:t>
                  </w:r>
                  \line 
                  <w:r>
                    <w:rPr>
                      <w:rFonts w:ascii="Calibri" w:hAnsi="Calibri"/>
                      <w:sz w:val="20"/>
                    </w:rPr>
                    <w:t xml:space="preserve">(2022)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\line 
                  <w:r>
                    <w:rPr>
                      <w:rFonts w:ascii="Calibri" w:hAnsi="Calibri"/>
                      <w:sz w:val="20"/>
                    </w:rPr>
                    <w:t xml:space="preserve"> (2008)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w:t>
                  </w:r>
                  \line 
                  <w:r>
                    <w:rPr>
                      <w:rFonts w:ascii="Calibri" w:hAnsi="Calibri"/>
                      <w:sz w:val="20"/>
                      <w:b w:val="true"/>
                    </w:rPr>
                    <w:t xml:space="preserve"> (2019)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3.7%</w:t>
                  </w:r>
                  \line 
                  <w:r>
                    <w:rPr>
                      <w:rFonts w:ascii="Calibri" w:hAnsi="Calibri"/>
                      <w:sz w:val="20"/>
                    </w:rPr>
                    <w:t xml:space="preserve"> (2018)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w:t>
                  </w:r>
                  \line 
                  <w:r>
                    <w:rPr>
                      <w:rFonts w:ascii="Calibri" w:hAnsi="Calibri"/>
                      <w:sz w:val="20"/>
                    </w:rPr>
                    <w:t xml:space="preserve"> (2015)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\line 
                  <w:r>
                    <w:rPr>
                      <w:rFonts w:ascii="Calibri" w:hAnsi="Calibri"/>
                      <w:sz w:val="20"/>
                    </w:rPr>
                    <w:t xml:space="preserve"> (2019)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de 15 à 24 ans en % de la population des jeunes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6.8%</w:t>
                  </w:r>
                  \line 
                  <w:r>
                    <w:rPr>
                      <w:rFonts w:ascii="Calibri" w:hAnsi="Calibri"/>
                      <w:sz w:val="20"/>
                      <w:b w:val="true"/>
                    </w:rPr>
                    <w:t xml:space="preserve">(2021)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3.8%</w:t>
                  </w:r>
                  \line 
                  <w:r>
                    <w:rPr>
                      <w:rFonts w:ascii="Calibri" w:hAnsi="Calibri"/>
                      <w:sz w:val="20"/>
                    </w:rPr>
                    <w:t xml:space="preserve">(2019)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6.3%</w:t>
                  </w:r>
                  \line 
                  <w:r>
                    <w:rPr>
                      <w:rFonts w:ascii="Calibri" w:hAnsi="Calibri"/>
                      <w:sz w:val="20"/>
                    </w:rPr>
                    <w:t xml:space="preserve"> (2009)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11%</w:t>
                  </w:r>
                  \line 
                  <w:r>
                    <w:rPr>
                      <w:rFonts w:ascii="Calibri" w:hAnsi="Calibri"/>
                      <w:sz w:val="20"/>
                      <w:b w:val="true"/>
                    </w:rPr>
                    <w:t xml:space="preserve"> (2012)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11.8%</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11.5%</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7.9%</w:t>
                  </w:r>
                  \line 
                  <w:r>
                    <w:rPr>
                      <w:rFonts w:ascii="Calibri" w:hAnsi="Calibri"/>
                      <w:sz w:val="20"/>
                    </w:rPr>
                    <w:t xml:space="preserve"> (2010)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en % de la population en âge de travailler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2.4%</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5.1%</w:t>
                  </w:r>
                  \line 
                  <w:r>
                    <w:rPr>
                      <w:rFonts w:ascii="Calibri" w:hAnsi="Calibri"/>
                      <w:sz w:val="20"/>
                      <w:b w:val="true"/>
                    </w:rPr>
                    <w:t xml:space="preserve">(2008)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2.4%</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3.8%</w:t>
                  </w:r>
                  \line 
                  <w:r>
                    <w:rPr>
                      <w:rFonts w:ascii="Calibri" w:hAnsi="Calibri"/>
                      <w:sz w:val="20"/>
                    </w:rPr>
                    <w:t xml:space="preserve">(2023)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5.9%</w:t>
                  </w:r>
                  \line 
                  <w:r>
                    <w:rPr>
                      <w:rFonts w:ascii="Calibri" w:hAnsi="Calibri"/>
                      <w:sz w:val="20"/>
                    </w:rPr>
                    <w:t xml:space="preserve"> (2009)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7.8%</w:t>
                  </w:r>
                  \line 
                  <w:r>
                    <w:rPr>
                      <w:rFonts w:ascii="Calibri" w:hAnsi="Calibri"/>
                      <w:sz w:val="20"/>
                      <w:b w:val="true"/>
                    </w:rPr>
                    <w:t xml:space="preserve"> (2015)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20.3%</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6.6%</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6.5%</w:t>
                  </w:r>
                  \line 
                  <w:r>
                    <w:rPr>
                      <w:rFonts w:ascii="Calibri" w:hAnsi="Calibri"/>
                      <w:sz w:val="20"/>
                    </w:rPr>
                    <w:t xml:space="preserve"> (2015)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occupant deux emplois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2.3%</w:t>
                  </w:r>
                  \line 
                  <w:r>
                    <w:rPr>
                      <w:rFonts w:ascii="Calibri" w:hAnsi="Calibri"/>
                      <w:sz w:val="20"/>
                    </w:rPr>
                    <w:t xml:space="preserve">(2002)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2.7%</w:t>
                  </w:r>
                  \line 
                  <w:r>
                    <w:rPr>
                      <w:rFonts w:ascii="Calibri" w:hAnsi="Calibri"/>
                      <w:sz w:val="20"/>
                      <w:b w:val="true"/>
                    </w:rPr>
                    <w:t xml:space="preserve">(2003)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\line 
                  <w:r>
                    <w:rPr>
                      <w:rFonts w:ascii="Calibri" w:hAnsi="Calibri"/>
                      <w:sz w:val="20"/>
                    </w:rPr>
                    <w:t xml:space="preserve">(2003)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1.6%</w:t>
                  </w:r>
                  \line 
                  <w:r>
                    <w:rPr>
                      <w:rFonts w:ascii="Calibri" w:hAnsi="Calibri"/>
                      <w:sz w:val="20"/>
                    </w:rPr>
                    <w:t xml:space="preserve">(1996)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4.9%</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\line 
                  <w:r>
                    <w:rPr>
                      <w:rFonts w:ascii="Calibri" w:hAnsi="Calibri"/>
                      <w:sz w:val="20"/>
                    </w:rPr>
                    <w:t xml:space="preserve">(1995)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5.6%</w:t>
                  </w:r>
                  \line 
                  <w:r>
                    <w:rPr>
                      <w:rFonts w:ascii="Calibri" w:hAnsi="Calibri"/>
                      <w:sz w:val="20"/>
                    </w:rPr>
                    <w:t xml:space="preserve"> (2019)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5.5%</w:t>
                  </w:r>
                  \line 
                  <w:r>
                    <w:rPr>
                      <w:rFonts w:ascii="Calibri" w:hAnsi="Calibri"/>
                      <w:sz w:val="20"/>
                      <w:b w:val="true"/>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w:t>
                  </w:r>
                  \line 
                  <w:r>
                    <w:rPr>
                      <w:rFonts w:ascii="Calibri" w:hAnsi="Calibri"/>
                      <w:sz w:val="20"/>
                    </w:rPr>
                    <w:t xml:space="preserve"> (2004)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\line 
                  <w:r>
                    <w:rPr>
                      <w:rFonts w:ascii="Calibri" w:hAnsi="Calibri"/>
                      <w:sz w:val="20"/>
                    </w:rPr>
                    <w:t xml:space="preserve">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\line 
                  <w:r>
                    <w:rPr>
                      <w:rFonts w:ascii="Calibri" w:hAnsi="Calibri"/>
                      <w:sz w:val="20"/>
                    </w:rPr>
                    <w:t xml:space="preserve">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5.3%</w:t>
                  </w:r>
                  \line 
                  <w:r>
                    <w:rPr>
                      <w:rFonts w:ascii="Calibri" w:hAnsi="Calibri"/>
                      <w:sz w:val="20"/>
                    </w:rPr>
                    <w:t xml:space="preserve"> (2022)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poste depuis moins d'un an (rotation)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11.3%</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12.2%</w:t>
                  </w:r>
                  \line 
                  <w:r>
                    <w:rPr>
                      <w:rFonts w:ascii="Calibri" w:hAnsi="Calibri"/>
                      <w:sz w:val="20"/>
                      <w:b w:val="true"/>
                    </w:rPr>
                    <w:t xml:space="preserve">(2013)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14.8%</w:t>
                  </w:r>
                  \line 
                  <w:r>
                    <w:rPr>
                      <w:rFonts w:ascii="Calibri" w:hAnsi="Calibri"/>
                      <w:sz w:val="20"/>
                    </w:rPr>
                    <w:t xml:space="preserve">(2012)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w:t>
                  </w:r>
                  \line 
                  <w:r>
                    <w:rPr>
                      <w:rFonts w:ascii="Calibri" w:hAnsi="Calibri"/>
                      <w:sz w:val="20"/>
                    </w:rPr>
                    <w:t xml:space="preserve">(2004)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10.3%</w:t>
                  </w:r>
                  \line 
                  <w:r>
                    <w:rPr>
                      <w:rFonts w:ascii="Calibri" w:hAnsi="Calibri"/>
                      <w:sz w:val="20"/>
                    </w:rPr>
                    <w:t xml:space="preserve">(1996)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15.5%</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16.6%</w:t>
                  </w:r>
                  \line 
                  <w:r>
                    <w:rPr>
                      <w:rFonts w:ascii="Calibri" w:hAnsi="Calibri"/>
                      <w:sz w:val="20"/>
                      <w:b w:val="true"/>
                    </w:rPr>
                    <w:t xml:space="preserve"> (2001)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12.6%</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28.1%</w:t>
                  </w:r>
                  \line 
                  <w:r>
                    <w:rPr>
                      <w:rFonts w:ascii="Calibri" w:hAnsi="Calibri"/>
                      <w:sz w:val="20"/>
                    </w:rPr>
                    <w:t xml:space="preserve"> (1998)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19.3%</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13.8%</w:t>
                  </w:r>
                  \line 
                  <w:r>
                    <w:rPr>
                      <w:rFonts w:ascii="Calibri" w:hAnsi="Calibri"/>
                      <w:sz w:val="20"/>
                    </w:rPr>
                    <w:t xml:space="preserve"> (2000)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r>
          </w:tbl>
          <w:bookmarkEnd w:id="21"/>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Le</w:t>
      </w:r>
      <w:r>
        <w:t xml:space="preserve"> </w:t>
      </w:r>
      <w:hyperlink w:anchor="tbl-earn">
        <w:r>
          <w:rPr>
            <w:rStyle w:val="Hyperlink"/>
          </w:rPr>
          <w:t xml:space="preserve">Table 2</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La France se situe dans une position basse en terme de rémunération brute globale, pour la moyenne des salariés à temps complet et à temps partiel. La différence est notable avec la Belgique, ce qui traduit, entre autres, une structure productive et une productivité plus élevée en Belgique. Comparé à l’Allemagne, l’Italie ou les Pays-Bas, la France affiche une rémunération proche, ce qui relativise toutes les comparaisons de productivité relative que l’on peut faire entre ces pays.</w:t>
      </w:r>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aux Pays-Bas contre 15% en France) mais l’écart de rémunération est plus faible en Italie ou en Belgique, ce qui indique que le temps partiel n’est pas le seul facteur. Le temps partiel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Les Pays-Bas affichent une forte inégalité (le ratio interdécile est de 15 contre 6 en France). Ces éléments suggèrent que les marges en France sont plus faibles que dans les autres pays. Cela n’implique pas qu’il n’y en pas, l’écart de rémunération entre les femmes et les hommes ne reflète ni un choix ni une moindre productivité des femmes. Mais il est illusoire de cherhcer dans la répartition des rémunarations entre salariés une solution à la crise des rémunérations, ce qui est, au moins comparativement, beaucoup moins le cas aux pays-Bas, où le temps partiel et son inégale répartition induit des inégalités massives dans la situation des travailleurs.</w:t>
      </w:r>
    </w:p>
    <w:tbl>
      <w:tblPr>
        <w:tblStyle w:val="Table"/>
        <w:tblW w:type="pct" w:w="5000"/>
        <w:tblLayout w:type="fixed"/>
        <w:tblLook w:firstRow="0" w:lastRow="0" w:firstColumn="0" w:lastColumn="0" w:noHBand="0" w:noVBand="0" w:val="0000"/>
      </w:tblPr>
      <w:tblGrid>
        <w:gridCol w:w="7920"/>
      </w:tblGrid>
      <w:tr>
        <w:tc>
          <w:tcPr/>
          <w:bookmarkStart w:id="23" w:name="tbl-earn"/>
          <w:p>
            <w:pPr>
              <w:jc w:val="center"/>
            </w:pPr>
            <w:pPr>
              <w:jc w:val="start"/>
              <w:spacing w:before="200"/>
              <w:pStyle w:val="ImageCaption"/>
            </w:pPr>
            <w:r>
              <w:t xml:space="preserve">Table 2: Strucuture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hommes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femmes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*managers*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travailleurs manuels peu qualifiés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ages,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salarie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salariue médian en Italie.</w:t>
                  </w:r>
                  <w:r xmlns:w="http://schemas.openxmlformats.org/wordprocessingml/2006/main">
                    <w:rPr>
                      <w:rFonts w:ascii="Calibri" w:hAnsi="Calibri"/>
                      <w:sz w:val="20"/>
                    </w:rPr>
                    <w:t xml:space="preserve"> </w:t>
                  </w:r>
                  \line 
                  <w:r xmlns:w="http://schemas.openxmlformats.org/wordprocessingml/2006/main">
                    <w:rPr>
                      <w:rFonts w:ascii="Calibri" w:hAnsi="Calibri"/>
                      <w:sz w:val="20"/>
                    </w:rPr>
                    <w:t xml:space="preserve"> </w:t>
                  </w: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23"/>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24"/>
    <w:bookmarkStart w:id="35"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1</w:t>
        </w:r>
      </w:hyperlink>
      <w:r>
        <w:t xml:space="preserve"> </w:t>
      </w:r>
      <w:r>
        <w:t xml:space="preserve">retrace l’évolution de la part des salaires dans la valeur ajoutée. Les choix méthodologiques sont indiqués en notes du graphique et les codes, accessibles à</w:t>
      </w:r>
      <w:r>
        <w:t xml:space="preserve"> </w:t>
      </w:r>
      <w:r>
        <w:rPr>
          <w:rStyle w:val="VerbatimChar"/>
        </w:rPr>
        <w:t xml:space="preserve">github.com/xtimbeau/travail</w:t>
      </w:r>
      <w:r>
        <w:t xml:space="preserve">, permettent de répliquer les résultats. Néanmoins quelques choix méritent d’être explicités, d’(autant qu’ils sont différents de ceux du rapport Cotis (</w:t>
      </w:r>
      <w:r>
        <w:t xml:space="preserve">Cotis (2009)</w:t>
      </w:r>
      <w:r>
        <w:t xml:space="preserve">) : on calcule ici la part des salaires dans la valeur ajoutée nette de la consommation de capital fixe. Ceci permet de prendre en compte la part du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 Ce choix réduit les problèmes de comparaison internationale, puisque, malgré les règles du Système de Comptes Nationaux (SNA), des conventions différentes existent entre pays sur ce qui est in investissement ou une consommation intermédiaire. Ici, en supposant que la dépréciation est</w:t>
      </w:r>
      <w:r>
        <w:t xml:space="preserve"> </w:t>
      </w:r>
      <w:r>
        <w:t xml:space="preserve">“correctement”</w:t>
      </w:r>
      <w:r>
        <w:t xml:space="preserve"> </w:t>
      </w:r>
      <w:r>
        <w:t xml:space="preserve">calculée, la convention choisit efface ces différences de définition comptable. La valeur ajoutée nette permet également de mieux comparer des pays qui ont des structures productives très différentes : L’industrie a un poids important dans l’économie Allemande et implique plus de capital qu’en France. La consommation de capital fixe y est donc plus importante en ratio de la valeur ajoutée brute, ce qui pourrait laisser croire une rémunération plus importante du capital en Allemagne qu’en France alors que ce n’est pas (nécessairement) le cas.</w:t>
      </w:r>
    </w:p>
    <w:p>
      <w:pPr>
        <w:pStyle w:val="BodyText"/>
      </w:pPr>
      <w:r>
        <w:t xml:space="preserve">La deuxième correction importante est celle de la prise en compte des non salariés dans le partage de la valeur ajoutée. Le revenu des non salariés est généralement constitué de l’excédent d’exploitation et lorsque le non salarié opère dans une structure juridique très simplifiée, ce revenu est comptabilisé dans le revenu des ménages (revenu mixte). Pourtant, on peut considérer que ce n’est pas une rémunération du capital, mais que cela doit être traité comme un quasi-salaire, d’autant qu’il est souvent soumis à cotisations sociales. Le choix retenu ici est d’affecter aux non salariés le salaire moyen des salariés de la même branche, ce qui est une approximation commode mais qui néglige les différences d’activités entre salariés et non salariés dans une même branche. Le non salariat empêche également de mesurer la consommation de capital fixe lorsque la structure juridique est trop simple pour répertorier le capital productif dans le bilan ou les flux d’investissement dans le compte d’exploitation. Cette correction est néanmoins critique à la fois parce que la part des non 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y compris celle imputée des ménages propriétaires et que la notion de travail y est difficile à comparer avec les autres branches. Cette difficulté ouvre cependant des interrogations majeures sur la signification à la fois de la valeur ajoutée et des profits comme nous le discutons plus loin.</w:t>
      </w:r>
    </w:p>
    <w:bookmarkStart w:id="29" w:name="cell-fig-sal"/>
    <w:tbl>
      <w:tblPr>
        <w:tblStyle w:val="Table"/>
        <w:tblW w:type="pct" w:w="5000"/>
        <w:tblLayout w:type="fixed"/>
        <w:tblLook w:firstRow="0" w:lastRow="0" w:firstColumn="0" w:lastColumn="0" w:noHBand="0" w:noVBand="0" w:val="0000"/>
      </w:tblPr>
      <w:tblGrid>
        <w:gridCol w:w="7920"/>
      </w:tblGrid>
      <w:tr>
        <w:tc>
          <w:tcPr/>
          <w:bookmarkStart w:id="28" w:name="fig-sal"/>
          <w:p>
            <w:pPr>
              <w:pStyle w:val="Compact"/>
              <w:jc w:val="center"/>
            </w:pPr>
            <w:r>
              <w:drawing>
                <wp:inline>
                  <wp:extent cx="4620126" cy="6468176"/>
                  <wp:effectExtent b="0" l="0" r="0" t="0"/>
                  <wp:docPr descr="" title="" id="26" name="Picture"/>
                  <a:graphic>
                    <a:graphicData uri="http://schemas.openxmlformats.org/drawingml/2006/picture">
                      <pic:pic>
                        <pic:nvPicPr>
                          <pic:cNvPr descr="travail_files/figure-docx/fig-sal-1.png" id="27" name="Picture"/>
                          <pic:cNvPicPr>
                            <a:picLocks noChangeArrowheads="1" noChangeAspect="1"/>
                          </pic:cNvPicPr>
                        </pic:nvPicPr>
                        <pic:blipFill>
                          <a:blip r:embed="rId2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Part des salaires dans la valeur ajoutée nette</w:t>
            </w:r>
          </w:p>
          <w:bookmarkEnd w:id="28"/>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29"/>
    <w:p>
      <w:pPr>
        <w:pStyle w:val="BodyText"/>
      </w:pPr>
      <w:r>
        <w:t xml:space="preserve">Le</w:t>
      </w:r>
      <w:r>
        <w:t xml:space="preserve"> </w:t>
      </w:r>
      <w:hyperlink w:anchor="fig-sal">
        <w:r>
          <w:rPr>
            <w:rStyle w:val="Hyperlink"/>
          </w:rPr>
          <w:t xml:space="preserve">Figure 1</w:t>
        </w:r>
      </w:hyperlink>
      <w:r>
        <w:t xml:space="preserve"> </w:t>
      </w:r>
      <w:r>
        <w:t xml:space="preserve">indique des parts des salaires dans la valeur ajoutée nette à des niveaux comparables – dans un intervale entre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 L’hypothèse d’un salaire équivalent des non salariés et des salariés est ici importante et un travail plus fin pourrait permettre d’améliorer cette hypothèse importante.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une fort recul de la part des salaires dans la valeur ajoutée. Ce n’est pas le cas en France, celle-ci ayant été particulièrement stable entre 2020 et 2024. Ainsi, malgré une indexation partielle, les salaires se sont maintenus, mais le coût des consommations intermédiaires a réduit la valeur ajoutée nette et la part des salaires est restée constante. Il est à noter également que la France est le seul pays à avoir publié ses comptes nationaux dans la version 2020, avec des révisions importantes par rapport au SNA 2014.</w:t>
      </w:r>
    </w:p>
    <w:p>
      <w:pPr>
        <w:pStyle w:val="BodyText"/>
      </w:pPr>
      <w:r>
        <w:t xml:space="preserve">Une première conclusion de l’examen de la part des salaires dans la valeur ajoutée est qu’il n’existe pas en France de perspectives agrégées de redressement des salaires sans hausse de la valeur ajoutée, qu’elle vienne de gains de productivité ou d’une hausse du nombre d’heure travaillées. Le seul pays dans lequel on peut identifier un potentiel sont les Pays-Bas, où on a vue l’importance du temps partiel dans les inégalités salariales. Les Pays-Bas peuvent cependant poser un problème de localisation des entreprises résidentes. En effet, pour bénéficier d’une taxation avantageuse sur les plus-values, de nombreux groupes localisent leur holding de tête dans ce pays. Cela peut conduire à biaiser la mesure aux Pays-Bas, gonflant la valeur ajoutée par des prix de transfert important, et donc la réduisant d’autant dans les autres pays. Ce processus délétère peut être à l’origine de la tendance à la baisse de la part de la valeur ajoutée aux Pays-Bas.</w:t>
      </w:r>
    </w:p>
    <w:p>
      <w:pPr>
        <w:pStyle w:val="BodyText"/>
      </w:pPr>
      <w:r>
        <w:t xml:space="preserve">La somme de l’impôt sur les sociétés et des impôts de production net des subventions réduit encore la marge de manœuvre en France. Dans quelques pays, les impôts nets des subventions sont assez fluctuants (en Allemagne, aux Pays-Bas ou en Belgique) ce qui traduit un changement de conditions fiscales rendant difficile la concurrence à l’intérieur du marché unique.</w:t>
      </w:r>
    </w:p>
    <w:p>
      <w:pPr>
        <w:pStyle w:val="BodyText"/>
      </w:pPr>
      <w:r>
        <w:t xml:space="preserve">Le</w:t>
      </w:r>
      <w:r>
        <w:t xml:space="preserve"> </w:t>
      </w:r>
      <w:hyperlink w:anchor="fig-rendement">
        <w:r>
          <w:rPr>
            <w:rStyle w:val="Hyperlink"/>
          </w:rPr>
          <w:t xml:space="preserve">Figure 2</w:t>
        </w:r>
      </w:hyperlink>
      <w:r>
        <w:t xml:space="preserve"> </w:t>
      </w:r>
      <w:r>
        <w:t xml:space="preserve">complète l’analyse en calculant la part des profits, nets des impôts (nets des subventions), rapporté à la valeur des actifs productifs. Cette notion correspond à un taux de rendement du capital productif. Elle permet de mieux comparer des économies aux structures productives très différentes. L’industrie en Allemagne s’accompagne d’un important stock de capital, qui peut justifier en partie une part des salaires plus faible, alors qu’une économie nécessitant moins de capital.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sont assez disparates. En 2023, le taux de rendement est le plus élevé aux Pays-Bas et le plus faible en France. Il a presque continuement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suite au réformes Hartz, conduisant à améliorer nettement le rendement du capital productif.</w:t>
      </w:r>
    </w:p>
    <w:p>
      <w:pPr>
        <w:pStyle w:val="BodyText"/>
      </w:pPr>
      <w:r>
        <w:t xml:space="preserve">Les taux de rendement souligne la situation complexe de l’économie Française et ne laisse pas entre-apercevoir de marges de manœuvre.</w:t>
      </w:r>
    </w:p>
    <w:bookmarkStart w:id="34" w:name="cell-fig-rendement"/>
    <w:tbl>
      <w:tblPr>
        <w:tblStyle w:val="Table"/>
        <w:tblW w:type="pct" w:w="5000"/>
        <w:tblLayout w:type="fixed"/>
        <w:tblLook w:firstRow="0" w:lastRow="0" w:firstColumn="0" w:lastColumn="0" w:noHBand="0" w:noVBand="0" w:val="0000"/>
      </w:tblPr>
      <w:tblGrid>
        <w:gridCol w:w="7920"/>
      </w:tblGrid>
      <w:tr>
        <w:tc>
          <w:tcPr/>
          <w:bookmarkStart w:id="33" w:name="fig-rendement"/>
          <w:p>
            <w:pPr>
              <w:pStyle w:val="Compact"/>
              <w:jc w:val="center"/>
            </w:pPr>
            <w:r>
              <w:drawing>
                <wp:inline>
                  <wp:extent cx="4620126" cy="6468176"/>
                  <wp:effectExtent b="0" l="0" r="0" t="0"/>
                  <wp:docPr descr="" title="" id="31" name="Picture"/>
                  <a:graphic>
                    <a:graphicData uri="http://schemas.openxmlformats.org/drawingml/2006/picture">
                      <pic:pic>
                        <pic:nvPicPr>
                          <pic:cNvPr descr="travail_files/figure-docx/fig-rendement-1.png" id="32" name="Picture"/>
                          <pic:cNvPicPr>
                            <a:picLocks noChangeArrowheads="1" noChangeAspect="1"/>
                          </pic:cNvPicPr>
                        </pic:nvPicPr>
                        <pic:blipFill>
                          <a:blip r:embed="rId30"/>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Taux de rendement nominal du capital productif après impôts</w:t>
            </w:r>
          </w:p>
          <w:bookmarkEnd w:id="33"/>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34"/>
    <w:bookmarkEnd w:id="35"/>
    <w:bookmarkStart w:id="45" w:name="une-nouvelle-politique-de-loffre"/>
    <w:p>
      <w:pPr>
        <w:pStyle w:val="Heading2"/>
      </w:pPr>
      <w:r>
        <w:t xml:space="preserve">Une nouvelle politique de l’offre ?</w:t>
      </w:r>
    </w:p>
    <w:p>
      <w:pPr>
        <w:pStyle w:val="FirstParagraph"/>
      </w:pPr>
      <w:r>
        <w:t xml:space="preserve">Ce tableau pourrait paraître désespérant, d’autant depuis François Hollande et plus encore avec Emmanuel Macron, la France s’est engagée dans une politique de l’offre, accroissant les subventions et les allègements de cotisations sociales (dont le CICE), prolongée par la baisse de l’impôt sur les sociétés et une réduction progressive des impôts de production. Or le</w:t>
      </w:r>
      <w:r>
        <w:t xml:space="preserve"> </w:t>
      </w:r>
      <w:hyperlink w:anchor="fig-rendement">
        <w:r>
          <w:rPr>
            <w:rStyle w:val="Hyperlink"/>
          </w:rPr>
          <w:t xml:space="preserve">Figure 2</w:t>
        </w:r>
      </w:hyperlink>
      <w:r>
        <w:t xml:space="preserve"> </w:t>
      </w:r>
      <w:r>
        <w:t xml:space="preserve">suggère que cette politique de l’offre n’a pas permis de restaurer le rendement du capital et que ces politiques ont poursuivi un objectif qui s’éloigne de plus en plus. Il est important de rappeler que, sous le vocable politique de l’offre, ce n’est pas que la fiscalité du capital productif qui a été réduite mais aussi celle du patrimoine. La suppression de l’Impôt sur la Fortune (ISF) ou le prélèvement forfaitaire unique (PFU) n’améliorent en rien le rendement du capital productif ni n’ouvre des possibilités pour accroître la part des salaries dans la valeur ajoutée.</w:t>
      </w:r>
    </w:p>
    <w:p>
      <w:pPr>
        <w:pStyle w:val="BodyText"/>
      </w:pPr>
      <w:r>
        <w:t xml:space="preserve">Au-delà de cette fuite interne et de la transformation d’un discours axé sur le tissu productif en des actions favorisant les individus qui détiennent du capital, il est possible qu’une fuite externe bloque également la situation productive en France. L’espace du marché unique s’est construit sans une uniformisation des fiscalités et conduit à des stratégies d’optimisation fiscale par des localisations non pas des centres de production mais des centres</w:t>
      </w:r>
      <w:r>
        <w:t xml:space="preserve"> </w:t>
      </w:r>
      <w:r>
        <w:t xml:space="preserve">“comptables”</w:t>
      </w:r>
      <w:r>
        <w:t xml:space="preserve"> </w:t>
      </w:r>
      <w:r>
        <w:t xml:space="preserve">dans les pays les plus attractifs. Les prix de transfert, prix utilisés dans la facturation interne enles différentes entités d’un même groupe, sont ainsi un moyen de déplacer de la valeur ajoutée, et donc du profit, d’un pays à un autre, sans qu’une usine ne bouge. Il existe bien sûr des limites à l’utilisation des prix de transfert, mais ceux ci sont difficiles à contrôler dès qu’il s’agit de facturer une propriété intangible comme une marque ou un brevet. Ce point a été fait par</w:t>
      </w:r>
      <w:r>
        <w:t xml:space="preserve"> </w:t>
      </w:r>
      <w:r>
        <w:t xml:space="preserve">(Tørsløv, Wier, and Zucman 2022)</w:t>
      </w:r>
      <w:r>
        <w:t xml:space="preserve"> </w:t>
      </w:r>
      <w:r>
        <w:t xml:space="preserve">pour les taux de profits jusqu’en 2016 et l’évolution du taux de profit en France indique que le processus s’est prolongé.</w:t>
      </w:r>
    </w:p>
    <w:p>
      <w:pPr>
        <w:pStyle w:val="BodyText"/>
      </w:pPr>
      <w:r>
        <w:t xml:space="preserve">Un autre mécanisme de fuite fiscale, à la fois interne et externe, échappe à notre analyse : il s’agit de l’utilisation du foncier comme moyen de transformer la valeur ajoutée productive en plus-values immobilières. Patrick Drahi a ainsi beaucoup recourru à ces schémas afin d’échapper à la taxation les profits générés par des activités productives, en faisant payer un loyer élevé et en transférant la valeur créée dans des sociétés foncières. Celles-ci peuvent avoir des régimes fiscaux particuliers autorisant la capitalisation et l’extinction de la plus-value.</w:t>
      </w:r>
    </w:p>
    <w:p>
      <w:pPr>
        <w:pStyle w:val="BodyText"/>
      </w:pPr>
      <w:r>
        <w:t xml:space="preserve">Ces schémas perturbent possiblement le diagnostic établi ici. En transférant la valeur créée vers d’autres pays ou vers un actif foncier à la fiscalité particulière, ils mettent sous pression le système productif, évaporent la base fiscale et contraignent l’austérité salariale.</w:t>
      </w:r>
    </w:p>
    <w:p>
      <w:pPr>
        <w:pStyle w:val="BodyText"/>
      </w:pPr>
      <w:r>
        <w:t xml:space="preserve">Il reste visiblement un travail important pour établir la preuve complète de ce qui n’est pour le moment qu’une hypothèse. Mais, en attendant, une politique de l’offre renouvelée viserait 1. d’alléger la fiscalité du capital productif tout en alourdissant celle du patrimoine, 2. d’uniformiser la fiscalité européenne afin de mettre fin à une spirale mortifère et 3. en reformant profondément la fiscalité foncière et immobilière pour que cesse cette forme perverse d’optimisation fiscale, encore accentuée par l’espace de libre circulation des capitaux.</w:t>
      </w:r>
    </w:p>
    <w:bookmarkStart w:id="44" w:name="refs"/>
    <w:bookmarkStart w:id="37" w:name="ref-askenazy2019"/>
    <w:p>
      <w:pPr>
        <w:pStyle w:val="Bibliography"/>
      </w:pPr>
      <w:r>
        <w:t xml:space="preserve">Askenazy, Philippe, Luc Behaghel, Morgane Laouenan, and Dominique Meurs. 2019.</w:t>
      </w:r>
      <w:r>
        <w:t xml:space="preserve"> </w:t>
      </w:r>
      <w:r>
        <w:t xml:space="preserve">“Quarante Ans d</w:t>
      </w:r>
      <w:r>
        <w:t xml:space="preserve">’</w:t>
      </w:r>
      <w:r>
        <w:t xml:space="preserve">analyse Du Travail Et de l</w:t>
      </w:r>
      <w:r>
        <w:t xml:space="preserve">’</w:t>
      </w:r>
      <w:r>
        <w:t xml:space="preserve">emploi : Points de Vue de Quatre Économistes.”</w:t>
      </w:r>
      <w:r>
        <w:t xml:space="preserve"> </w:t>
      </w:r>
      <w:r>
        <w:rPr>
          <w:i/>
          <w:iCs/>
        </w:rPr>
        <w:t xml:space="preserve">Travail Et Emploi</w:t>
      </w:r>
      <w:r>
        <w:t xml:space="preserve">, no. 158 (October): 69–94.</w:t>
      </w:r>
      <w:r>
        <w:t xml:space="preserve"> </w:t>
      </w:r>
      <w:hyperlink r:id="rId36">
        <w:r>
          <w:rPr>
            <w:rStyle w:val="Hyperlink"/>
          </w:rPr>
          <w:t xml:space="preserve">https://doi.org/10.4000/travailemploi.9068</w:t>
        </w:r>
      </w:hyperlink>
      <w:r>
        <w:t xml:space="preserve">.</w:t>
      </w:r>
    </w:p>
    <w:bookmarkEnd w:id="37"/>
    <w:bookmarkStart w:id="39" w:name="ref-cotis2009"/>
    <w:p>
      <w:pPr>
        <w:pStyle w:val="Bibliography"/>
      </w:pPr>
      <w:r>
        <w:t xml:space="preserve">Cotis, Jean-Philippe. 2009.</w:t>
      </w:r>
      <w:r>
        <w:t xml:space="preserve"> </w:t>
      </w:r>
      <w:r>
        <w:t xml:space="preserve">“Partage de La Valeur Ajoutée, Partage Des Profits Et Écarts de Rémunérations En France.”</w:t>
      </w:r>
      <w:r>
        <w:t xml:space="preserve"> </w:t>
      </w:r>
      <w:r>
        <w:t xml:space="preserve">Présidence de la Répulique Française.</w:t>
      </w:r>
      <w:r>
        <w:t xml:space="preserve"> </w:t>
      </w:r>
      <w:hyperlink r:id="rId38">
        <w:r>
          <w:rPr>
            <w:rStyle w:val="Hyperlink"/>
          </w:rPr>
          <w:t xml:space="preserve">https://www.vie-publique.fr/rapport/30455-partage-valeur-ajoutee-partage-profits-et-ecarts-de-remuneration</w:t>
        </w:r>
      </w:hyperlink>
      <w:r>
        <w:t xml:space="preserve">.</w:t>
      </w:r>
    </w:p>
    <w:bookmarkEnd w:id="39"/>
    <w:bookmarkStart w:id="41" w:name="ref-lima2022"/>
    <w:p>
      <w:pPr>
        <w:pStyle w:val="Bibliography"/>
      </w:pPr>
      <w:r>
        <w:t xml:space="preserve">Lima, Léa, and Carole Tuchszirer. 2022.</w:t>
      </w:r>
      <w:r>
        <w:t xml:space="preserve"> </w:t>
      </w:r>
      <w:r>
        <w:t xml:space="preserve">“Politiques Sociales : L’état Des Savoirs.”</w:t>
      </w:r>
      <w:r>
        <w:t xml:space="preserve"> </w:t>
      </w:r>
      <w:r>
        <w:t xml:space="preserve">In, 45–58. La Découverte.</w:t>
      </w:r>
      <w:r>
        <w:t xml:space="preserve"> </w:t>
      </w:r>
      <w:hyperlink r:id="rId40">
        <w:r>
          <w:rPr>
            <w:rStyle w:val="Hyperlink"/>
          </w:rPr>
          <w:t xml:space="preserve">https://doi.org/10.3917/dec.girau.2022.01.0045</w:t>
        </w:r>
      </w:hyperlink>
      <w:r>
        <w:t xml:space="preserve">.</w:t>
      </w:r>
    </w:p>
    <w:bookmarkEnd w:id="41"/>
    <w:bookmarkStart w:id="43" w:name="ref-tørsløv2022"/>
    <w:p>
      <w:pPr>
        <w:pStyle w:val="Bibliography"/>
      </w:pPr>
      <w:r>
        <w:t xml:space="preserve">Tørsløv, Thomas, Ludvig Wier, and Gabriel Zucman. 2022.</w:t>
      </w:r>
      <w:r>
        <w:t xml:space="preserve"> </w:t>
      </w:r>
      <w:r>
        <w:t xml:space="preserve">“The Missing Profits of Nations.”</w:t>
      </w:r>
      <w:r>
        <w:t xml:space="preserve"> </w:t>
      </w:r>
      <w:r>
        <w:rPr>
          <w:i/>
          <w:iCs/>
        </w:rPr>
        <w:t xml:space="preserve">The Review of Economic Studies</w:t>
      </w:r>
      <w:r>
        <w:t xml:space="preserve"> </w:t>
      </w:r>
      <w:r>
        <w:t xml:space="preserve">90 (3): 1499–1534.</w:t>
      </w:r>
      <w:r>
        <w:t xml:space="preserve"> </w:t>
      </w:r>
      <w:hyperlink r:id="rId42">
        <w:r>
          <w:rPr>
            <w:rStyle w:val="Hyperlink"/>
          </w:rPr>
          <w:t xml:space="preserve">https://doi.org/10.1093/restud/rdac049</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42" Target="https://doi.org/10.1093/restud/rdac049" TargetMode="External" /><Relationship Type="http://schemas.openxmlformats.org/officeDocument/2006/relationships/hyperlink" Id="rId40" Target="https://doi.org/10.3917/dec.girau.2022.01.0045" TargetMode="External" /><Relationship Type="http://schemas.openxmlformats.org/officeDocument/2006/relationships/hyperlink" Id="rId36" Target="https://doi.org/10.4000/travailemploi.9068" TargetMode="External" /><Relationship Type="http://schemas.openxmlformats.org/officeDocument/2006/relationships/hyperlink" Id="rId38" Target="https://www.vie-publique.fr/rapport/30455-partage-valeur-ajoutee-partage-profits-et-ecarts-de-remuneration" TargetMode="External" /><Relationship Type="http://schemas.openxmlformats.org/officeDocument/2006/relationships/hyperlink" Id="rId22" Target="https://xtimbeau.github.io/travail/travail.qmd.html"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93/restud/rdac049" TargetMode="External" /><Relationship Type="http://schemas.openxmlformats.org/officeDocument/2006/relationships/hyperlink" Id="rId40" Target="https://doi.org/10.3917/dec.girau.2022.01.0045" TargetMode="External" /><Relationship Type="http://schemas.openxmlformats.org/officeDocument/2006/relationships/hyperlink" Id="rId36" Target="https://doi.org/10.4000/travailemploi.9068" TargetMode="External" /><Relationship Type="http://schemas.openxmlformats.org/officeDocument/2006/relationships/hyperlink" Id="rId38" Target="https://www.vie-publique.fr/rapport/30455-partage-valeur-ajoutee-partage-profits-et-ecarts-de-remuneration" TargetMode="External" /><Relationship Type="http://schemas.openxmlformats.org/officeDocument/2006/relationships/hyperlink" Id="rId22" Target="https://xtimbeau.github.io/travail/travail.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2025-01-20T09:06:34Z</dcterms:created>
  <dcterms:modified xsi:type="dcterms:W3CDTF">2025-01-20T09:06:34Z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3323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mments">
    <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