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w:t>
      </w:r>
    </w:p>
    <w:bookmarkStart w:id="28" w:name="revaloriser-le-travail"/>
    <w:p>
      <w:pPr>
        <w:pStyle w:val="Heading2"/>
      </w:pPr>
      <w:r>
        <w:t xml:space="preserve">Revaloriser le travail</w:t>
      </w:r>
    </w:p>
    <w:p>
      <w:pPr>
        <w:pStyle w:val="FirstParagraph"/>
      </w:pPr>
      <w:r>
        <w:t xml:space="preserve">L’ensemble de ce numéro d’Économie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ultra-riches sont peut-être la manifestation la plus visible, chacun vit de son travail, présent ou passé et est donc renvoyé à une condition commune et partagée.</w:t>
      </w:r>
    </w:p>
    <w:p>
      <w:pPr>
        <w:pStyle w:val="BodyText"/>
      </w:pPr>
      <w:r>
        <w:t xml:space="preserve">Dans l’approche macroéconomique que nous suivons ici les salaires sont traités en agrégé, et nous laissons de côté les questions relatives à une répartition différente entre les groupes de salariés, par exemple celle des critères qui doivent guider la valorisation des différents métiers au sein d’une entreprise ou d’une branche (voir par exemple l’article de Bénédicte Grésy). Ici, la question est de savoir les conditions dans quelles l’évolution des salaires pourrait être plus dynamique que celle observée en France et en Europe, et qui contraste avec les tendances aux Etats-Unis notamment. N’oublions pas cependant que les deux questions sont étroitement liées : une évolution plus dynamique dans l’agrégat élargit des marges de manœuvre pour mener d’autres politiques salariales à l’échelle des entreprises ou des branches, dans le secteur privé comme dans le public.</w:t>
      </w:r>
    </w:p>
    <w:p>
      <w:pPr>
        <w:pStyle w:val="BodyText"/>
      </w:pPr>
      <w:r>
        <w:t xml:space="preserve">En France, depuis 2018, les salaires réels déclinent en effet depuis plusieurs trimestres (</w:t>
      </w:r>
      <w:hyperlink w:anchor="fig-salaires">
        <w:r>
          <w:rPr>
            <w:rStyle w:val="Hyperlink"/>
          </w:rPr>
          <w:t xml:space="preserve">Figure 1</w:t>
        </w:r>
      </w:hyperlink>
      <w:r>
        <w:t xml:space="preserve">) ∂; c’est également le cas aux Pays Bas ou en Allemagne ; ils stagnent depuis longtemps en Espagne et continuent de se dégrader encore en Italie. Partout en Europe la valeur du travail est à la peine, avec les conséquences sociales et politiques que l’on peut imaginer sur les sociétés. La hausse récente de l’inflation (2022-2024), consécutive au choc de prix de l’énergie provoqué par l’invasion de l’Ukraine par la Russie impose ici sa loi. En Europe, la hausse des prix du gaz et de l’électricité a coûté presque 3 points de PIB, en partie absorbés par les déficits publics.</w:t>
      </w:r>
    </w:p>
    <w:bookmarkStart w:id="25" w:name="cell-fig-salaires"/>
    <w:tbl>
      <w:tblPr>
        <w:tblStyle w:val="Table"/>
        <w:tblW w:type="pct" w:w="5000"/>
        <w:tblLayout w:type="fixed"/>
        <w:tblLook w:firstRow="0" w:lastRow="0" w:firstColumn="0" w:lastColumn="0" w:noHBand="0" w:noVBand="0" w:val="0000"/>
      </w:tblPr>
      <w:tblGrid>
        <w:gridCol w:w="7920"/>
      </w:tblGrid>
      <w:tr>
        <w:tc>
          <w:tcPr/>
          <w:bookmarkStart w:id="23" w:name="fig-salaires"/>
          <w:p>
            <w:pPr>
              <w:pStyle w:val="Compact"/>
              <w:jc w:val="center"/>
            </w:pPr>
            <w:r>
              <w:drawing>
                <wp:inline>
                  <wp:extent cx="4620126" cy="4620126"/>
                  <wp:effectExtent b="0" l="0" r="0" t="0"/>
                  <wp:docPr descr="" title="" id="21" name="Picture"/>
                  <a:graphic>
                    <a:graphicData uri="http://schemas.openxmlformats.org/drawingml/2006/picture">
                      <pic:pic>
                        <pic:nvPicPr>
                          <pic:cNvPr descr="travail_files/figure-docx/fig-salaires-1.png" id="22" name="Picture"/>
                          <pic:cNvPicPr>
                            <a:picLocks noChangeArrowheads="1" noChangeAspect="1"/>
                          </pic:cNvPicPr>
                        </pic:nvPicPr>
                        <pic:blipFill>
                          <a:blip r:embed="rId2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Salaires réels en Europe</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Mais la hausse des prix de l’énergie s’ajoute à une situation plus ancienne et dont le diagnostic macroéconomique est fait depuis longtemps, la crise des dettes souveraines en 2012 ayant amorcé le décrochage européen par rapport aux Etats-Unis du fait de la combinaison de politiques budgétaires et monétaires trop restrictives, limitant la demande interne européenne dans un monde de plus en plus protectionniste (voir notamment les rapport iAGS de 2013 à 2019</w:t>
      </w:r>
      <w:r>
        <w:rPr>
          <w:rStyle w:val="FootnoteReference"/>
        </w:rPr>
        <w:footnoteReference w:id="26"/>
      </w:r>
      <w:r>
        <w:t xml:space="preserve"> </w:t>
      </w:r>
      <w:r>
        <w:t xml:space="preserve">ou les analyses du FMI et de la commission Européenne sur les multiplicateurs budgétaires en temps de crise). Le très récent rapport Draghi</w:t>
      </w:r>
      <w:r>
        <w:t xml:space="preserve"> </w:t>
      </w:r>
      <w:r>
        <w:t xml:space="preserve">(Draghi 2024)</w:t>
      </w:r>
      <w:r>
        <w:t xml:space="preserve"> </w:t>
      </w:r>
      <w:r>
        <w:t xml:space="preserve">en fait une synthèse consensuelle : d’une part l’accumulation d’une position nette européenne très positive expose les détenteurs de patrimoine européens à des effets de change adverse et les oblige à accepter des rendements faibles, de l’autre la faible demande européenne pèse à la fois sur le court-terme (un multiplicateur keynésien traditionnel) et sur le long terme. D’un côté, les Etats-Unis d’Amérique combinent déficit public, déficit extérieur et un différentiel entre le taux d’intérêt sur leur dette publique et le rendement du capital productif investit sur leur territoire ou sous leur contrôle. L’Europe, de l’autre côté, se noie dans une dynamique délétère, au prétexte d’une soutenabilité mal pensée. L’abandon par Trump de l’atténuation du changement climatique qui prolonge des stratégies opposées accroît encore le fossé entre Europe et Etats-Unis en termes de prix de l’énergie (</w:t>
      </w:r>
      <w:r>
        <w:t xml:space="preserve">Epaulard et al. (2024)</w:t>
      </w:r>
      <w:r>
        <w:t xml:space="preserve">).</w:t>
      </w:r>
    </w:p>
    <w:p>
      <w:pPr>
        <w:pStyle w:val="BodyText"/>
      </w:pPr>
      <w:r>
        <w:t xml:space="preserve">Les marges de manœuvre en Europe dépendent d’abord de la stratégie macroéconomique de l’Europe : sortir d’un carcan idéologique et se positionner pragmatiquement dans la nouvelle donne mondiale. L’Europe a la taille critique pour traiter avec ses marchés financiers. Son épargne abondante lui autorise de grandes libertés et rien ne l’oblige à financer l’expansion américaine, qui s’affranchit de toutes limites à commencer par celles de la Planète. L’Europe doit combiner une relance qui soutient la demande interne mais également qui stimule son tissu productif. La fin de la globalisation plus ou moins régulée demande une autre approche que la recherche de la compétitivité à tout prix. Et tant que ce cadre de pensée n’aura pas basculé, l’Europe restera contrainte à jouer le jeu de la concurrence entre les Etats membres produisant stagnation et appauvrissement.</w:t>
      </w:r>
    </w:p>
    <w:p>
      <w:pPr>
        <w:pStyle w:val="BodyText"/>
      </w:pPr>
      <w:r>
        <w:t xml:space="preserve">La comparaison qui suit de la situation française avec des pays du Nord comme du Sud de l’Europe est édifiante et se résume ainsi : les mutations engagées depuis un demi-siècle ont engendré un nouveau monde, flexible et faisant porter la charge de l’ajustement macroéconomique d’abord sur le travail. Pour autant, ce n’est pas, du moins en France, du côté des inégalités que l’on doit aller chercher la solution. Et l’examen de la situation des entreprises ne donne pas non plus beaucoup de clefs, si ce n’est l’urgence de mettre fin à la concurrence fiscale qui mine le tissu productif européen. La macroéconomie européenne met ainsi sous pression les salariés, du haut comme du bas de l’échelle, les entreprises et les finances publiques des Etats membres, à part quelques uns qui tirent opportunément et sans doute temporairement leur épingle du jeu.</w:t>
      </w:r>
    </w:p>
    <w:bookmarkEnd w:id="28"/>
    <w:bookmarkStart w:id="36" w:name="le-nouveau-monde"/>
    <w:p>
      <w:pPr>
        <w:pStyle w:val="Heading2"/>
      </w:pPr>
      <w:r>
        <w:t xml:space="preserve">Le nouveau monde</w:t>
      </w:r>
    </w:p>
    <w:p>
      <w:pPr>
        <w:pStyle w:val="FirstParagraph"/>
      </w:pPr>
      <w:r>
        <w:t xml:space="preserve">La flexibilisation des marchés du travail est à l’ordre du jour depuis les années 1980</w:t>
      </w:r>
      <w:r>
        <w:t xml:space="preserve"> </w:t>
      </w:r>
      <w:r>
        <w:t xml:space="preserve">(Lima and Tuchszirer 2022)</w:t>
      </w:r>
      <w:r>
        <w:t xml:space="preserve">.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r>
        <w:rPr>
          <w:b/>
          <w:bCs/>
        </w:rPr>
        <w:t xml:space="preserve">?@tbl-chomage</w:t>
      </w:r>
      <w:r>
        <w:t xml:space="preserve"> </w:t>
      </w:r>
      <w:r>
        <w:t xml:space="preserve">donne quelques indicateurs choisis pour 6 pays européens pour la période 1995-2023. Quelques faits résument les évolutions (une analyse plus détaillée est faite par</w:t>
      </w:r>
      <w:r>
        <w:t xml:space="preserve"> </w:t>
      </w:r>
      <w:r>
        <w:t xml:space="preserve">Askenazy et al. (2019)</w:t>
      </w:r>
      <w:r>
        <w:t xml:space="preserve">) :</w:t>
      </w:r>
    </w:p>
    <w:p>
      <w:pPr>
        <w:numPr>
          <w:ilvl w:val="0"/>
          <w:numId w:val="1001"/>
        </w:numPr>
      </w:pPr>
      <w:r>
        <w:t xml:space="preserve">le chômage (au sens du BIT, des jeunes comme de l’ensemble de population en âge de travailler)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p>
      <w:pPr>
        <w:pStyle w:val="BodyText"/>
      </w:pPr>
      <w:r>
        <w:t xml:space="preserve">Le</w:t>
      </w:r>
      <w:r>
        <w:t xml:space="preserve"> </w:t>
      </w:r>
      <w:hyperlink w:anchor="tbl-earn">
        <w:r>
          <w:rPr>
            <w:rStyle w:val="Hyperlink"/>
          </w:rPr>
          <w:t xml:space="preserve">Table 1</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Au sein de l’Union Européenne, La France se situe dans une position basse en terme de rémunération brute globale, pour la moyenne des salariés à temps complet et à temps partiel. La différence est notable avec la Belgique, ce qui traduit, entre autres, une structure productive spécifique et une productivité plus élevée en Belgique. Comparé à l’Allemagne, l’Italie ou les Pays-Bas, la France affiche une rémunération proche en moyenne, ce qui relativise toutes les comparaisons de la productivité que l’on peut faire entre ces pays.</w:t>
      </w:r>
    </w:p>
    <w:tbl>
      <w:tblPr>
        <w:tblStyle w:val="Table"/>
        <w:tblW w:type="pct" w:w="5000"/>
        <w:tblLayout w:type="fixed"/>
        <w:tblLook w:firstRow="0" w:lastRow="0" w:firstColumn="0" w:lastColumn="0" w:noHBand="0" w:noVBand="0" w:val="0000"/>
      </w:tblPr>
      <w:tblGrid>
        <w:gridCol w:w="7920"/>
      </w:tblGrid>
      <w:tr>
        <w:tc>
          <w:tcPr/>
          <w:bookmarkStart w:id="29" w:name="tbl-earn"/>
          <w:p>
            <w:pPr>
              <w:jc w:val="center"/>
            </w:pPr>
            <w:pPr>
              <w:jc w:val="start"/>
              <w:spacing w:before="200"/>
              <w:pStyle w:val="ImageCaption"/>
            </w:pPr>
            <w:r>
              <w:t xml:space="preserve">Table 1: Structure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 marchand</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Industrie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âges,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salaire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salaire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9"/>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massivement choisi et non subit,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qu’ailleurs</w:t>
      </w:r>
      <w:r>
        <w:rPr>
          <w:rStyle w:val="FootnoteReference"/>
        </w:rPr>
        <w:footnoteReference w:id="30"/>
      </w:r>
      <w:r>
        <w:t xml:space="preserve">. Les Pays-Bas affichent une forte inégalité (le ratio interdécile est de 15 contre 6 en France). Ces éléments suggèrent que les marges en France sont plus faibles que dans les autres pays. Aligner la rémunération et le temps de travail des femmes sur ceux des hommes n’est pas un politique simple, mais ne résoudrait pas pour autant la crise des rémunérations comme le montre l’analyse du partage de la valeur ajoutée plus loin.</w:t>
      </w:r>
    </w:p>
    <w:p>
      <w:pPr>
        <w:pStyle w:val="BodyText"/>
      </w:pPr>
      <w:r>
        <w:t xml:space="preserve">Le vieillissement de la population rend difficile également le partage de la charge entre vie active/retraite. Dans la plupart des pays, le vieillissement continuera de peser dans le futur avec la hausse du ratio entre le nombre de dépendants et le nombre d’actifs (en équivalent à temps plein) (</w:t>
      </w:r>
      <w:hyperlink w:anchor="fig-depend">
        <w:r>
          <w:rPr>
            <w:rStyle w:val="Hyperlink"/>
          </w:rPr>
          <w:t xml:space="preserve">Figure 2</w:t>
        </w:r>
      </w:hyperlink>
      <w:r>
        <w:t xml:space="preserve">). La France n’échappe pas à cette logique. L’égalisation des taux d’activité entre femme et homme, même s’il réduit le ratio de dépendance ne représente pas un levier majeur en France (contrairement à l’Italie).</w:t>
      </w:r>
    </w:p>
    <w:bookmarkStart w:id="35" w:name="cell-fig-depend"/>
    <w:tbl>
      <w:tblPr>
        <w:tblStyle w:val="Table"/>
        <w:tblW w:type="pct" w:w="5000"/>
        <w:tblLayout w:type="fixed"/>
        <w:tblLook w:firstRow="0" w:lastRow="0" w:firstColumn="0" w:lastColumn="0" w:noHBand="0" w:noVBand="0" w:val="0000"/>
      </w:tblPr>
      <w:tblGrid>
        <w:gridCol w:w="7920"/>
      </w:tblGrid>
      <w:tr>
        <w:tc>
          <w:tcPr/>
          <w:bookmarkStart w:id="34" w:name="fig-depend"/>
          <w:p>
            <w:pPr>
              <w:pStyle w:val="Compact"/>
              <w:jc w:val="center"/>
            </w:pPr>
            <w:r>
              <w:drawing>
                <wp:inline>
                  <wp:extent cx="4620126" cy="4620126"/>
                  <wp:effectExtent b="0" l="0" r="0" t="0"/>
                  <wp:docPr descr="" title="" id="32" name="Picture"/>
                  <a:graphic>
                    <a:graphicData uri="http://schemas.openxmlformats.org/drawingml/2006/picture">
                      <pic:pic>
                        <pic:nvPicPr>
                          <pic:cNvPr descr="travail_files/figure-docx/fig-depend-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Ratio de dépendance inactifs/actifs en équivalent temps plein</w:t>
            </w:r>
          </w:p>
          <w:bookmarkEnd w:id="34"/>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5"/>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7"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3</w:t>
        </w:r>
      </w:hyperlink>
      <w:r>
        <w:t xml:space="preserve"> </w:t>
      </w:r>
      <w:r>
        <w:t xml:space="preserve">retrace l’évolution de la part des salaires dans la valeur ajoutée. Les choix méthodologiques sont indiqués en notes du graphique et les codes permettent de répliquer les résultats. Néanmoins quelques choix méritent d’être explicités, d’autant qu’ils sont différents de ceux du rapport Cotis (</w:t>
      </w:r>
      <w:r>
        <w:t xml:space="preserve">Cotis (2009)</w:t>
      </w:r>
      <w:r>
        <w:t xml:space="preserve">, voir aussi</w:t>
      </w:r>
      <w:r>
        <w:t xml:space="preserve"> </w:t>
      </w:r>
      <w:r>
        <w:t xml:space="preserve">Askenazy, Cette, and Sylvain (2011)</w:t>
      </w:r>
      <w:r>
        <w:t xml:space="preserve">) : on calcule ici la part des salaires dans la valeur ajoutée nette de la consommation de capital fixe – une notion proche de l’amortissement en comptabilité privée. Ceci permet de prendre en compte le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w:t>
      </w:r>
    </w:p>
    <w:p>
      <w:pPr>
        <w:pStyle w:val="BodyText"/>
      </w:pPr>
      <w:r>
        <w:t xml:space="preserve">La deuxième correction importante est celle de la prise en compte des non-salariés dans le partage de la valeur ajoutée. Le revenu des non-salariés est généralement constitué de l’excédent d’exploitation et lorsque le non-salarié opère dans une structure juridique simplifiée, ce revenu est comptabilisé dans le revenu des ménages (revenu mixte). Il doit être traité comme un quasi-salaire et non une rémunération du capital, d’autant qu’il est souvent soumis à cotisations sociales. On affecte ainsi aux non-salariés le salaire moyen des salariés de la même branche. Cette correction est importante à la fois parce que la part des non-salariés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(les loyers effectifs et imputés pour l’habitation) et que la notion de travail y est difficile à comparer avec les autres branches.</w:t>
      </w:r>
    </w:p>
    <w:bookmarkStart w:id="41" w:name="cell-fig-sal"/>
    <w:tbl>
      <w:tblPr>
        <w:tblStyle w:val="Table"/>
        <w:tblW w:type="pct" w:w="5000"/>
        <w:tblLayout w:type="fixed"/>
        <w:tblLook w:firstRow="0" w:lastRow="0" w:firstColumn="0" w:lastColumn="0" w:noHBand="0" w:noVBand="0" w:val="0000"/>
      </w:tblPr>
      <w:tblGrid>
        <w:gridCol w:w="7920"/>
      </w:tblGrid>
      <w:tr>
        <w:tc>
          <w:tcPr/>
          <w:bookmarkStart w:id="40" w:name="fig-sal"/>
          <w:p>
            <w:pPr>
              <w:pStyle w:val="Compact"/>
              <w:jc w:val="center"/>
            </w:pPr>
            <w:r>
              <w:drawing>
                <wp:inline>
                  <wp:extent cx="4620126" cy="4620126"/>
                  <wp:effectExtent b="0" l="0" r="0" t="0"/>
                  <wp:docPr descr="" title="" id="38" name="Picture"/>
                  <a:graphic>
                    <a:graphicData uri="http://schemas.openxmlformats.org/drawingml/2006/picture">
                      <pic:pic>
                        <pic:nvPicPr>
                          <pic:cNvPr descr="travail_files/figure-docx/fig-sal-1.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Part des salaires dans la valeur ajoutée nette</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p>
      <w:pPr>
        <w:pStyle w:val="BodyText"/>
      </w:pPr>
      <w:r>
        <w:t xml:space="preserve">Le</w:t>
      </w:r>
      <w:r>
        <w:t xml:space="preserve"> </w:t>
      </w:r>
      <w:hyperlink w:anchor="fig-sal">
        <w:r>
          <w:rPr>
            <w:rStyle w:val="Hyperlink"/>
          </w:rPr>
          <w:t xml:space="preserve">Figure 3</w:t>
        </w:r>
      </w:hyperlink>
      <w:r>
        <w:t xml:space="preserve"> </w:t>
      </w:r>
      <w:r>
        <w:t xml:space="preserve">indique des parts des salaires dans la valeur ajoutée nette à des niveaux comparables – dans un intervalle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méthodologie version 2020, avec des révisions importantes par rapport à la version 2014.</w:t>
      </w:r>
    </w:p>
    <w:p>
      <w:pPr>
        <w:pStyle w:val="BodyText"/>
      </w:pPr>
      <w:r>
        <w:t xml:space="preserve">On peut tirer deux conclusions importantes de ces éléments. Premièrement, la part des salaires dans la valeur ajoutée nette fluctue peu et ce malgré des chocs économiques majeurs. C’est la conséquence d’un ajustement plus flexible des marchés du travail et de la désindexation d’une grande part des rémunérations. Deuxièmement, il n’existe pas en France de marge de redressement des salaires sans hausse de la valeur ajoutée, qu’elle vienne de gains de productivité ou d’une hausse du nombre d’heure travaillées. 90% de la valeur ajoutée nette est sans doute proche d’un maximum et demande probablement des montages particuliers pour être soutenable du côté de la rémunération du capital. Les Pays-Bas, l’Espagne et l’Italie échappent à cette contrainte : en Espagne comme en Italie, cela correspond à une masse salariale globale très contenue et indique sans doute des marges de manœuvre du côté des salaires, après des années particulièrement austères. Les Pays-Bas sont un cas à part. Les inégalités salariales y découlent avant tout du temps partiel, et le fort rendement du capital provient de la localisation des holding de tête de nombreux groupes dans ce pays. De cette façon, la valeur ajoutée y est gonflée par des prix de transfert, et donc la réduisant d’autant dans les pays voisins.</w:t>
      </w:r>
    </w:p>
    <w:p>
      <w:pPr>
        <w:pStyle w:val="BodyText"/>
      </w:pPr>
      <w:r>
        <w:t xml:space="preserve">L’imposition des entreprises (somme de l’impôt sur les sociétés et des impôts de production net des subventions) réduit encore la marge de manœuvre en France (quelques % de la valeur ajoutée nette restent). Dans quelques pays, les impôts nets des subventions sont fluctuants (en Allemagne, aux Pays-Bas ou en Belgique) ce qui traduit un changement de conditions fiscales accentuant la concurrence à l’intérieur du marché unique.</w:t>
      </w:r>
    </w:p>
    <w:p>
      <w:pPr>
        <w:pStyle w:val="BodyText"/>
      </w:pPr>
      <w:r>
        <w:t xml:space="preserve">Le</w:t>
      </w:r>
      <w:r>
        <w:t xml:space="preserve"> </w:t>
      </w:r>
      <w:hyperlink w:anchor="fig-rendement">
        <w:r>
          <w:rPr>
            <w:rStyle w:val="Hyperlink"/>
          </w:rPr>
          <w:t xml:space="preserve">Figure 4</w:t>
        </w:r>
      </w:hyperlink>
      <w:r>
        <w:t xml:space="preserve"> </w:t>
      </w:r>
      <w:r>
        <w:t xml:space="preserve">représente les profits, nets des impôts (nets des subventions), rapportés à la valeur des actifs productifs. C’est ce qui s’approche le plus d’un taux de rendement du capital productif en comptabilité nationale.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du capital productif sont assez disparates. En 2023, le taux de rendement est le plus élevé aux Pays-Bas et le plus faible en France. Il a presque continument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à la suite des réformes Hartz, conduisant à améliorer nettement le rendement du capital productif.</w:t>
      </w:r>
    </w:p>
    <w:bookmarkStart w:id="46" w:name="cell-fig-rendement"/>
    <w:tbl>
      <w:tblPr>
        <w:tblStyle w:val="Table"/>
        <w:tblW w:type="pct" w:w="5000"/>
        <w:tblLayout w:type="fixed"/>
        <w:tblLook w:firstRow="0" w:lastRow="0" w:firstColumn="0" w:lastColumn="0" w:noHBand="0" w:noVBand="0" w:val="0000"/>
      </w:tblPr>
      <w:tblGrid>
        <w:gridCol w:w="7920"/>
      </w:tblGrid>
      <w:tr>
        <w:tc>
          <w:tcPr/>
          <w:bookmarkStart w:id="45" w:name="fig-rendement"/>
          <w:p>
            <w:pPr>
              <w:pStyle w:val="Compact"/>
              <w:jc w:val="center"/>
            </w:pPr>
            <w:r>
              <w:drawing>
                <wp:inline>
                  <wp:extent cx="4620126" cy="4620126"/>
                  <wp:effectExtent b="0" l="0" r="0" t="0"/>
                  <wp:docPr descr="" title="" id="43" name="Picture"/>
                  <a:graphic>
                    <a:graphicData uri="http://schemas.openxmlformats.org/drawingml/2006/picture">
                      <pic:pic>
                        <pic:nvPicPr>
                          <pic:cNvPr descr="travail_files/figure-docx/fig-rendement-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Taux de rendement nominal du capital productif après impôts</w:t>
            </w:r>
          </w:p>
          <w:bookmarkEnd w:id="4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6"/>
    <w:bookmarkEnd w:id="47"/>
    <w:bookmarkStart w:id="66" w:name="Xc3dfb5d739cf57d4a1126ad1ff5961fc01d8990"/>
    <w:p>
      <w:pPr>
        <w:pStyle w:val="Heading2"/>
      </w:pPr>
      <w:r>
        <w:t xml:space="preserve">Réformes fiscales et une nouvelle politique de l’offre (verte et pragmatique)</w:t>
      </w:r>
    </w:p>
    <w:p>
      <w:pPr>
        <w:pStyle w:val="FirstParagraph"/>
      </w:pPr>
      <w:r>
        <w:t xml:space="preserve">Ce tableau paraît désespérant, d’autant depuis François Hollande et plus encore avec Emmanuel Macron, la France s’est engagée dans une politique de l’offre coûteuse et ambitieuse, accroissant les subventions et les allègements de cotisations sociales (dont le CICE et le CIR), prolongée par la baisse de l’impôt sur les sociétés et une réduction progressive des impôts de production. Or le</w:t>
      </w:r>
      <w:r>
        <w:t xml:space="preserve"> </w:t>
      </w:r>
      <w:hyperlink w:anchor="fig-rendement">
        <w:r>
          <w:rPr>
            <w:rStyle w:val="Hyperlink"/>
          </w:rPr>
          <w:t xml:space="preserve">Figure 4</w:t>
        </w:r>
      </w:hyperlink>
      <w:r>
        <w:t xml:space="preserve"> </w:t>
      </w:r>
      <w:r>
        <w:t xml:space="preserve">plus haut suggère que cette politique de l’offre n’a pas inversé l’effondrement du rendement du capital, alors que c’est la condition nécessaire, c’est la thèse de cet article, pour créer des conditions macroéconomiques permettant de revaloriser les salaires.</w:t>
      </w:r>
    </w:p>
    <w:p>
      <w:pPr>
        <w:pStyle w:val="BodyText"/>
      </w:pPr>
      <w:r>
        <w:t xml:space="preserve">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 Ce ne sont pas des réponses pertinentes si on cherche à rétablir le taux de rendement du capital.</w:t>
      </w:r>
    </w:p>
    <w:p>
      <w:pPr>
        <w:pStyle w:val="BodyText"/>
      </w:pPr>
      <w:r>
        <w:t xml:space="preserve">Au-delà de cette fuite</w:t>
      </w:r>
      <w:r>
        <w:t xml:space="preserve"> </w:t>
      </w:r>
      <w:r>
        <w:t xml:space="preserve">“interne”</w:t>
      </w:r>
      <w:r>
        <w:t xml:space="preserve"> </w:t>
      </w:r>
      <w:r>
        <w:t xml:space="preserve">et de la dérive d’un discours axé sur le tissu productif en des actions favorisant les individus qui détiennent du capital, une fuite</w:t>
      </w:r>
      <w:r>
        <w:t xml:space="preserve"> </w:t>
      </w:r>
      <w:r>
        <w:t xml:space="preserve">“externe”</w:t>
      </w:r>
      <w:r>
        <w:t xml:space="preserve"> </w:t>
      </w:r>
      <w:r>
        <w:t xml:space="preserve">bloque également la situation productive en France. Le marché unique s’est construit sans uniformisation des fiscalités des entreprises et conduit à des stratégies d’optimisation fiscale par la localisation de telle ou telle opération dans les différentes filiales nationales. Les prix de transfert, prix utilisés dans la facturation interne entre différentes entités d’un même groupe, sont ainsi un moyen de déplacer de la valeur ajoutée, et donc du profit, d’un pays à un autre, sans qu’une usine ne bouge.Les prix de transfert sont difficiles à contrôler dès qu’il s’agit de facturer une propriété intangible comme une marque ou un brevet.</w:t>
      </w:r>
      <w:r>
        <w:t xml:space="preserve"> </w:t>
      </w:r>
      <w:r>
        <w:t xml:space="preserve">(Tørsløv, Wier, and Zucman 2022)</w:t>
      </w:r>
      <w:r>
        <w:t xml:space="preserve"> </w:t>
      </w:r>
      <w:r>
        <w:t xml:space="preserve">quantifient cette fuite majeure qui participe à l’érosion du taux de profit en France ou en Allemagne au profit des Pays-Bas, entre autres. Tout indique que cette dynamique s’est accentuée.</w:t>
      </w:r>
    </w:p>
    <w:p>
      <w:pPr>
        <w:pStyle w:val="BodyText"/>
      </w:pPr>
      <w:r>
        <w:t xml:space="preserve">Un autre mécanisme de fuite fiscale, à la fois interne et externe, échappe également aux analyses : il s’agit de l’utilisation du foncier comme moyen de transformer la valeur ajoutée productive en plus-values immobilières. Patrick Drahi a ainsi beaucoup recouru à ces schémas afin d’échapper à la taxation des profits générés par des activités productives, en faisant payer des loyers et en transférant la valeur créée dans des sociétés foncières. Celles-ci ont des régimes fiscaux spécifiques autorisant la capitalisation des bénéfices non distribués et l’extinction des plus-values.</w:t>
      </w:r>
    </w:p>
    <w:p>
      <w:pPr>
        <w:pStyle w:val="BodyText"/>
      </w:pPr>
      <w:r>
        <w:t xml:space="preserve">Ces fuites internes et externes complexifient le diagnostic, et permettent de comprendre comment le système productif est mis sous pression et comment s’évapore la base fiscale. Il reste visiblement un travail important pour établir la preuve complète de ce qui n’est pour le moment qu’une hypothèse.</w:t>
      </w:r>
    </w:p>
    <w:p>
      <w:pPr>
        <w:pStyle w:val="BodyText"/>
      </w:pPr>
      <w:r>
        <w:t xml:space="preserve">Il y a cependant suffisamment d’éléments pour renouveler la politique de l’offre et bâtir une stratégie européenne pragmatique et verte :</w:t>
      </w:r>
    </w:p>
    <w:p>
      <w:pPr>
        <w:pStyle w:val="Compact"/>
        <w:numPr>
          <w:ilvl w:val="0"/>
          <w:numId w:val="1002"/>
        </w:numPr>
      </w:pPr>
      <w:r>
        <w:t xml:space="preserve">Accentuer la baisse de la fiscalité de la production tout en relevant celle du patrimoine. La fiscalité de production peut être aussi utiliser pour inciter à la transition et permettre d’en absorber les coûts pour les entreprises. A cela s’ajoute la possibilité de la taxation des plus-values immobilières résidentielles comme professionnelles (immobilier de bureau, foncier pour les activités productives, infrastructures productives) qui sont un refuge qui affaiblit les bases fiscales et pousse à accroître la fiscalité des salaires ou de la production.</w:t>
      </w:r>
    </w:p>
    <w:p>
      <w:pPr>
        <w:pStyle w:val="Compact"/>
        <w:numPr>
          <w:ilvl w:val="0"/>
          <w:numId w:val="1002"/>
        </w:numPr>
      </w:pPr>
      <w:r>
        <w:t xml:space="preserve">L’harmonisation de la fiscalité européenne (mêmes bases fiscales, mêmes traitements fiscaux de la comptabilité, couloirs de taux) doit permettre de ne plus motiver les choix de localisation des entreprises, de leurs sièges, de leurs propriétés intangibles dans un pays de l’Europe pour des raisons de d’optimisation fiscale. Cela alimente un jeu à somme nulle entre les Etats membres, une complexité organisationnelle en nourrissant l’activité des conseils pour aboutir à une base fiscale évaporée et le report de la charge fiscale sur ce qui bouge moins, empêchant la mise en place d’une politique de l’offre dirigée vers la production.</w:t>
      </w:r>
    </w:p>
    <w:p>
      <w:pPr>
        <w:pStyle w:val="Compact"/>
        <w:numPr>
          <w:ilvl w:val="0"/>
          <w:numId w:val="1002"/>
        </w:numPr>
      </w:pPr>
      <w:r>
        <w:t xml:space="preserve">A cette simplification fiscale, une politique de compétitivité doit être mise en place pour protéger le tissu productif européen des pratiques anti-concurrentielles (barrières sur le marché américain, droits de douanes, subventions, prix de l’énergie).</w:t>
      </w:r>
    </w:p>
    <w:p>
      <w:pPr>
        <w:pStyle w:val="Compact"/>
        <w:numPr>
          <w:ilvl w:val="0"/>
          <w:numId w:val="1002"/>
        </w:numPr>
      </w:pPr>
      <w:r>
        <w:t xml:space="preserve">A ces éléments sur l’imposition et les échanges, le soutien à la demande agrégée européenne est nécessaire et doit aboutir à faire baisser à la fois l’épargne et l’excédent des transactions courants de l’Union vis-à-vis du reste du monde. La France est en déficit de balance courante et donc n’est pas en position d’impulser cette orientation qui découle principalement des positions des pays de l’Europe du Nord (Allemagne et Pays-Bas).</w:t>
      </w:r>
    </w:p>
    <w:p>
      <w:pPr>
        <w:pStyle w:val="Compact"/>
        <w:numPr>
          <w:ilvl w:val="0"/>
          <w:numId w:val="1002"/>
        </w:numPr>
      </w:pPr>
      <w:r>
        <w:t xml:space="preserve">Afin de donner à une relance budgétaire le plus d’impact dans le temps, c’est l’investissement dans les infrastructures, particulièrement productives, qui doit être privilégié. Une relance par les salaires ne suffira pas à redonner au capital productif le rendement nécessaire, sauf dans certains pays de l’Union. Un candidat prioritaire sont les infrastructures de transport et de production de l’énergie. Comme noté dans le rapport Draghi (</w:t>
      </w:r>
      <w:r>
        <w:t xml:space="preserve">Draghi (2024)</w:t>
      </w:r>
      <w:r>
        <w:t xml:space="preserve">) ou dans (</w:t>
      </w:r>
      <w:r>
        <w:t xml:space="preserve">Epaulard et al. (2024)</w:t>
      </w:r>
      <w:r>
        <w:t xml:space="preserve">) le prix de l’énergie est plus élevé en Europe qu’aux Etats-Unis ou en Chine. L’écart (du simple au triple), bien qu’il joue sur un intrant mineur diminue le rendement du capital et la compétitivité. Un effort d’investissement massif dans la production et le stockage d’énergie décarbonée – ou verte selon les exigences – financé par de la dette européenne commune</w:t>
      </w:r>
      <w:r>
        <w:rPr>
          <w:rStyle w:val="FootnoteReference"/>
        </w:rPr>
        <w:footnoteReference w:id="48"/>
      </w:r>
      <w:r>
        <w:t xml:space="preserve">, mais assurant un prix fortement réduit au moins pour les producteurs de biens et de services, est à même de répondre aux critères d’un soutien à court terme et d’une stimulation à long terme.</w:t>
      </w:r>
    </w:p>
    <w:bookmarkStart w:id="65" w:name="refs"/>
    <w:bookmarkStart w:id="50" w:name="ref-askenazy2019"/>
    <w:p>
      <w:pPr>
        <w:pStyle w:val="Bibliography"/>
      </w:pPr>
      <w:r>
        <w:t xml:space="preserve">Askenazy, Philippe, Luc Behaghel, Morgane Laouenan, and Dominique Meurs. 2019.</w:t>
      </w:r>
      <w:r>
        <w:t xml:space="preserve"> </w:t>
      </w:r>
      <w:r>
        <w:t xml:space="preserve">“Quarante Ans d</w:t>
      </w:r>
      <w:r>
        <w:t xml:space="preserve">’</w:t>
      </w:r>
      <w:r>
        <w:t xml:space="preserve">analyse Du Travail Et de l</w:t>
      </w:r>
      <w:r>
        <w:t xml:space="preserve">’</w:t>
      </w:r>
      <w:r>
        <w:t xml:space="preserve">emploi : Points de Vue de Quatre Économistes.”</w:t>
      </w:r>
      <w:r>
        <w:t xml:space="preserve"> </w:t>
      </w:r>
      <w:r>
        <w:rPr>
          <w:i/>
          <w:iCs/>
        </w:rPr>
        <w:t xml:space="preserve">Travail Et Emploi</w:t>
      </w:r>
      <w:r>
        <w:t xml:space="preserve">, no. 158 (October): 69–94.</w:t>
      </w:r>
      <w:r>
        <w:t xml:space="preserve"> </w:t>
      </w:r>
      <w:hyperlink r:id="rId49">
        <w:r>
          <w:rPr>
            <w:rStyle w:val="Hyperlink"/>
          </w:rPr>
          <w:t xml:space="preserve">https://doi.org/10.4000/travailemploi.9068</w:t>
        </w:r>
      </w:hyperlink>
      <w:r>
        <w:t xml:space="preserve">.</w:t>
      </w:r>
    </w:p>
    <w:bookmarkEnd w:id="50"/>
    <w:bookmarkStart w:id="52" w:name="ref-askenazy2011"/>
    <w:p>
      <w:pPr>
        <w:pStyle w:val="Bibliography"/>
      </w:pPr>
      <w:r>
        <w:t xml:space="preserve">Askenazy, Philippe, Gilbert Cette, and Arnaud Sylvain. 2011.</w:t>
      </w:r>
      <w:r>
        <w:t xml:space="preserve"> </w:t>
      </w:r>
      <w:r>
        <w:t xml:space="preserve">“Le Partage de La Valeur Ajoutée.”</w:t>
      </w:r>
      <w:r>
        <w:t xml:space="preserve"> </w:t>
      </w:r>
      <w:r>
        <w:rPr>
          <w:i/>
          <w:iCs/>
        </w:rPr>
        <w:t xml:space="preserve">Repères</w:t>
      </w:r>
      <w:r>
        <w:t xml:space="preserve">, March.</w:t>
      </w:r>
      <w:r>
        <w:t xml:space="preserve"> </w:t>
      </w:r>
      <w:hyperlink r:id="rId51">
        <w:r>
          <w:rPr>
            <w:rStyle w:val="Hyperlink"/>
          </w:rPr>
          <w:t xml:space="preserve">https://doi.org/10.3917/dec.asken.2011.01</w:t>
        </w:r>
      </w:hyperlink>
      <w:r>
        <w:t xml:space="preserve">.</w:t>
      </w:r>
    </w:p>
    <w:bookmarkEnd w:id="52"/>
    <w:bookmarkStart w:id="54" w:name="ref-cotis2009"/>
    <w:p>
      <w:pPr>
        <w:pStyle w:val="Bibliography"/>
      </w:pPr>
      <w:r>
        <w:t xml:space="preserve">Cotis, Jean-Philippe. 2009.</w:t>
      </w:r>
      <w:r>
        <w:t xml:space="preserve"> </w:t>
      </w:r>
      <w:r>
        <w:t xml:space="preserve">“Partage de La Valeur Ajoutée, Partage Des Profits Et Écarts de Rémunérations En France.”</w:t>
      </w:r>
      <w:r>
        <w:t xml:space="preserve"> </w:t>
      </w:r>
      <w:r>
        <w:t xml:space="preserve">Présidence de la République Française.</w:t>
      </w:r>
      <w:r>
        <w:t xml:space="preserve"> </w:t>
      </w:r>
      <w:hyperlink r:id="rId53">
        <w:r>
          <w:rPr>
            <w:rStyle w:val="Hyperlink"/>
          </w:rPr>
          <w:t xml:space="preserve">https://www.vie-publique.fr/rapport/30455-partage-valeur-ajoutee-partage-profits-et-ecarts-de-remuneration</w:t>
        </w:r>
      </w:hyperlink>
      <w:r>
        <w:t xml:space="preserve">.</w:t>
      </w:r>
    </w:p>
    <w:bookmarkEnd w:id="54"/>
    <w:bookmarkStart w:id="56" w:name="ref-draghi2024"/>
    <w:p>
      <w:pPr>
        <w:pStyle w:val="Bibliography"/>
      </w:pPr>
      <w:r>
        <w:t xml:space="preserve">Draghi, Mario. 2024.</w:t>
      </w:r>
      <w:r>
        <w:t xml:space="preserve"> </w:t>
      </w:r>
      <w:r>
        <w:t xml:space="preserve">“The Future of European Competitiveness – a Competitiveness Strategy for Europe.”</w:t>
      </w:r>
      <w:r>
        <w:t xml:space="preserve"> </w:t>
      </w:r>
      <w:r>
        <w:t xml:space="preserve">Commission Européenne/European Commission.</w:t>
      </w:r>
      <w:r>
        <w:t xml:space="preserve"> </w:t>
      </w:r>
      <w:hyperlink r:id="rId55">
        <w:r>
          <w:rPr>
            <w:rStyle w:val="Hyperlink"/>
          </w:rPr>
          <w:t xml:space="preserve">https://commission.europa.eu/topics/strengthening-european-competitiveness/eu-competitiveness-looking-ahead_en#paragraph_47059</w:t>
        </w:r>
      </w:hyperlink>
      <w:r>
        <w:t xml:space="preserve">.</w:t>
      </w:r>
    </w:p>
    <w:bookmarkEnd w:id="56"/>
    <w:bookmarkStart w:id="58" w:name="ref-epaulard2024"/>
    <w:p>
      <w:pPr>
        <w:pStyle w:val="Bibliography"/>
      </w:pPr>
      <w:r>
        <w:t xml:space="preserve">Epaulard, Anne, Paul Malliet, Anissa Saumtally, and Xavier Timbeau. 2024.</w:t>
      </w:r>
      <w:r>
        <w:t xml:space="preserve"> </w:t>
      </w:r>
      <w:r>
        <w:t xml:space="preserve">“La Transition Écologique En Europe : Tenir Le Cap.”</w:t>
      </w:r>
      <w:r>
        <w:t xml:space="preserve"> </w:t>
      </w:r>
      <w:r>
        <w:rPr>
          <w:i/>
          <w:iCs/>
        </w:rPr>
        <w:t xml:space="preserve">Policy Brief de l’OFCE</w:t>
      </w:r>
      <w:r>
        <w:t xml:space="preserve">, no. 131 (June).</w:t>
      </w:r>
      <w:r>
        <w:t xml:space="preserve"> </w:t>
      </w:r>
      <w:hyperlink r:id="rId57">
        <w:r>
          <w:rPr>
            <w:rStyle w:val="Hyperlink"/>
          </w:rPr>
          <w:t xml:space="preserve">https://www.ofce.sciences-po.fr/pdf/pbrief/2024/OFCEpbrief131.pdf</w:t>
        </w:r>
      </w:hyperlink>
      <w:r>
        <w:t xml:space="preserve">.</w:t>
      </w:r>
    </w:p>
    <w:bookmarkEnd w:id="58"/>
    <w:bookmarkStart w:id="60" w:name="ref-lima2022"/>
    <w:p>
      <w:pPr>
        <w:pStyle w:val="Bibliography"/>
      </w:pPr>
      <w:r>
        <w:t xml:space="preserve">Lima, Léa, and Carole Tuchszirer. 2022.</w:t>
      </w:r>
      <w:r>
        <w:t xml:space="preserve"> </w:t>
      </w:r>
      <w:r>
        <w:t xml:space="preserve">“Politiques Sociales : L’état Des Savoirs.”</w:t>
      </w:r>
      <w:r>
        <w:t xml:space="preserve"> </w:t>
      </w:r>
      <w:r>
        <w:t xml:space="preserve">In, 45–58. La Découverte.</w:t>
      </w:r>
      <w:r>
        <w:t xml:space="preserve"> </w:t>
      </w:r>
      <w:hyperlink r:id="rId59">
        <w:r>
          <w:rPr>
            <w:rStyle w:val="Hyperlink"/>
          </w:rPr>
          <w:t xml:space="preserve">https://doi.org/10.3917/dec.girau.2022.01.0045</w:t>
        </w:r>
      </w:hyperlink>
      <w:r>
        <w:t xml:space="preserve">.</w:t>
      </w:r>
    </w:p>
    <w:bookmarkEnd w:id="60"/>
    <w:bookmarkStart w:id="62" w:name="ref-timbeau2023"/>
    <w:p>
      <w:pPr>
        <w:pStyle w:val="Bibliography"/>
      </w:pPr>
      <w:r>
        <w:t xml:space="preserve">Timbeau, Xavier. 2022.</w:t>
      </w:r>
      <w:r>
        <w:t xml:space="preserve"> </w:t>
      </w:r>
      <w:r>
        <w:t xml:space="preserve">“Trois Décennies de Réformes Fiscales En France.”</w:t>
      </w:r>
      <w:r>
        <w:t xml:space="preserve"> </w:t>
      </w:r>
      <w:r>
        <w:rPr>
          <w:i/>
          <w:iCs/>
        </w:rPr>
        <w:t xml:space="preserve">Economie Politique</w:t>
      </w:r>
      <w:r>
        <w:t xml:space="preserve">, no. 96.</w:t>
      </w:r>
      <w:r>
        <w:t xml:space="preserve"> </w:t>
      </w:r>
      <w:hyperlink r:id="rId61">
        <w:r>
          <w:rPr>
            <w:rStyle w:val="Hyperlink"/>
          </w:rPr>
          <w:t xml:space="preserve">https://shs.cairn.info/revue-l-economie-politique-2022-4-page-8?lang=fr</w:t>
        </w:r>
      </w:hyperlink>
      <w:r>
        <w:t xml:space="preserve">.</w:t>
      </w:r>
    </w:p>
    <w:bookmarkEnd w:id="62"/>
    <w:bookmarkStart w:id="64" w:name="ref-tørsløv2022"/>
    <w:p>
      <w:pPr>
        <w:pStyle w:val="Bibliography"/>
      </w:pPr>
      <w:r>
        <w:t xml:space="preserve">Tørsløv, Thomas, Ludvig Wier, and Gabriel Zucman. 2022.</w:t>
      </w:r>
      <w:r>
        <w:t xml:space="preserve"> </w:t>
      </w:r>
      <w:r>
        <w:t xml:space="preserve">“The Missing Profits of Nations.”</w:t>
      </w:r>
      <w:r>
        <w:t xml:space="preserve"> </w:t>
      </w:r>
      <w:r>
        <w:rPr>
          <w:i/>
          <w:iCs/>
        </w:rPr>
        <w:t xml:space="preserve">The Review of Economic Studies</w:t>
      </w:r>
      <w:r>
        <w:t xml:space="preserve"> </w:t>
      </w:r>
      <w:r>
        <w:t xml:space="preserve">90 (3): 1499–1534.</w:t>
      </w:r>
      <w:r>
        <w:t xml:space="preserve"> </w:t>
      </w:r>
      <w:hyperlink r:id="rId63">
        <w:r>
          <w:rPr>
            <w:rStyle w:val="Hyperlink"/>
          </w:rPr>
          <w:t xml:space="preserve">https://doi.org/10.1093/restud/rdac049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https://www.ofce.sciences-po.fr/recherche/iags.php</w:t>
        </w:r>
      </w:hyperlink>
    </w:p>
  </w:footnote>
  <w:footnote w:id="30">
    <w:p>
      <w:pPr>
        <w:pStyle w:val="FootnoteText"/>
      </w:pPr>
      <w:r>
        <w:rPr>
          <w:rStyle w:val="FootnoteReference"/>
        </w:rPr>
        <w:footnoteRef/>
      </w:r>
      <w:r>
        <w:t xml:space="preserve"> </w:t>
      </w:r>
      <w:r>
        <w:t xml:space="preserve">Voir aussi</w:t>
      </w:r>
      <w:r>
        <w:t xml:space="preserve"> </w:t>
      </w:r>
      <w:r>
        <w:t xml:space="preserve">Timbeau (2022)</w:t>
      </w:r>
      <w:r>
        <w:t xml:space="preserve"> </w:t>
      </w:r>
      <w:r>
        <w:t xml:space="preserve">(trois décennies de réformes fiscales, Economie Politique n°96)</w:t>
      </w:r>
    </w:p>
  </w:footnote>
  <w:footnote w:id="48">
    <w:p>
      <w:pPr>
        <w:pStyle w:val="FootnoteText"/>
      </w:pPr>
      <w:r>
        <w:rPr>
          <w:rStyle w:val="FootnoteReference"/>
        </w:rPr>
        <w:footnoteRef/>
      </w:r>
      <w:r>
        <w:t xml:space="preserve"> </w:t>
      </w:r>
      <w:r>
        <w:t xml:space="preserve">Savoir si l’investissement est privé ou public, tout comme le canal de financement, est ici de second ordre. Le point important est que cet investissement doit être</w:t>
      </w:r>
      <w:r>
        <w:t xml:space="preserve"> </w:t>
      </w:r>
      <w:r>
        <w:rPr>
          <w:i/>
          <w:iCs/>
        </w:rPr>
        <w:t xml:space="preserve">in fine</w:t>
      </w:r>
      <w:r>
        <w:t xml:space="preserve"> </w:t>
      </w:r>
      <w:r>
        <w:t xml:space="preserve">largement subventionné afin de fournir aux producteurs une énergie 2 à 3 fois moins chère qu’aujourd’hui. L’enjeu est de remettre sur le même niveau de compétitivité les entreprises européennes, chinoises et américaines, d’autant que ces deux dernières zones ont choisi de donner, contrairement à l’Union Européenne, un prix final du carbone très faible et de procéder par subvention pour accompagner la transition énergétique.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55" Target="https://commission.europa.eu/topics/strengthening-european-competitiveness/eu-competitiveness-looking-ahead_en#paragraph_47059" TargetMode="External" /><Relationship Type="http://schemas.openxmlformats.org/officeDocument/2006/relationships/hyperlink" Id="rId63" Target="https://doi.org/10.1093/restud/rdac049" TargetMode="External" /><Relationship Type="http://schemas.openxmlformats.org/officeDocument/2006/relationships/hyperlink" Id="rId51" Target="https://doi.org/10.3917/dec.asken.2011.01" TargetMode="External" /><Relationship Type="http://schemas.openxmlformats.org/officeDocument/2006/relationships/hyperlink" Id="rId59" Target="https://doi.org/10.3917/dec.girau.2022.01.0045" TargetMode="External" /><Relationship Type="http://schemas.openxmlformats.org/officeDocument/2006/relationships/hyperlink" Id="rId49" Target="https://doi.org/10.4000/travailemploi.9068" TargetMode="External" /><Relationship Type="http://schemas.openxmlformats.org/officeDocument/2006/relationships/hyperlink" Id="rId61" Target="https://shs.cairn.info/revue-l-economie-politique-2022-4-page-8?lang=fr" TargetMode="External" /><Relationship Type="http://schemas.openxmlformats.org/officeDocument/2006/relationships/hyperlink" Id="rId57" Target="https://www.ofce.sciences-po.fr/pdf/pbrief/2024/OFCEpbrief131.pdf" TargetMode="External" /><Relationship Type="http://schemas.openxmlformats.org/officeDocument/2006/relationships/hyperlink" Id="rId27" Target="https://www.ofce.sciences-po.fr/recherche/iags.php" TargetMode="External" /><Relationship Type="http://schemas.openxmlformats.org/officeDocument/2006/relationships/hyperlink" Id="rId53" Target="https://www.vie-publique.fr/rapport/30455-partage-valeur-ajoutee-partage-profits-et-ecarts-de-remuneration" TargetMode="External" /><Relationship Type="http://schemas.openxmlformats.org/officeDocument/2006/relationships/hyperlink" Id="rId24"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2025-01-25T18:45:46Z</dcterms:created>
  <dcterms:modified xsi:type="dcterms:W3CDTF">2025-01-25T18:45:46Z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globalisation et les mutations économiques engagées depuis les années 1990 ont fait porter la charge de l’ajustement macroéconomique d’abord sur le coût du travail. L’exemple américain montre toutefois qu’un autre mix macroéconomique est possible, fonde à la fois sur des politiques fiscales et une politique de l’offre différentes de celles que nous avons vu sous la présidence d’Emmanuel Macron. 389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omments">
    <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