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第二章 &amp; 第三章 — 缺失数据清单</w:t>
      </w:r>
    </w:p>
    <w:p>
      <w:r>
        <w:t>生成日期：2026年06月14日</w:t>
      </w:r>
    </w:p>
    <w:p/>
    <w:p>
      <w:pPr>
        <w:pStyle w:val="Heading2"/>
      </w:pPr>
      <w:r>
        <w:t>一、第二章「利润概况」缺失数据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缺失数据项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严重程度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毛利率（月/季/年三个维度均无）</w:t>
            </w:r>
          </w:p>
        </w:tc>
        <w:tc>
          <w:tcPr>
            <w:tcW w:type="dxa" w:w="2880"/>
          </w:tcPr>
          <w:p>
            <w:r>
              <w:t>🔴 高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毛利额（月/季/年三个维度均无）</w:t>
            </w:r>
          </w:p>
        </w:tc>
        <w:tc>
          <w:tcPr>
            <w:tcW w:type="dxa" w:w="2880"/>
          </w:tcPr>
          <w:p>
            <w:r>
              <w:t>🔴 高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所有指标的目标值（全部为0）</w:t>
            </w:r>
          </w:p>
        </w:tc>
        <w:tc>
          <w:tcPr>
            <w:tcW w:type="dxa" w:w="2880"/>
          </w:tcPr>
          <w:p>
            <w:r>
              <w:t>🔴 高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所有指标的同期数（全部为0）</w:t>
            </w:r>
          </w:p>
        </w:tc>
        <w:tc>
          <w:tcPr>
            <w:tcW w:type="dxa" w:w="2880"/>
          </w:tcPr>
          <w:p>
            <w:r>
              <w:t>🔴 高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个人人工费用 — 缺少月维度</w:t>
            </w:r>
          </w:p>
        </w:tc>
        <w:tc>
          <w:tcPr>
            <w:tcW w:type="dxa" w:w="2880"/>
          </w:tcPr>
          <w:p>
            <w:r>
              <w:t>🟡 中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其他各类费用 — 缺少月和季维度</w:t>
            </w:r>
          </w:p>
        </w:tc>
        <w:tc>
          <w:tcPr>
            <w:tcW w:type="dxa" w:w="2880"/>
          </w:tcPr>
          <w:p>
            <w:r>
              <w:t>🟡 中</w:t>
            </w:r>
          </w:p>
        </w:tc>
      </w:tr>
    </w:tbl>
    <w:p/>
    <w:p>
      <w:pPr>
        <w:pStyle w:val="Heading2"/>
      </w:pPr>
      <w:r>
        <w:t>二、第三章「销量分析」缺失数据</w:t>
      </w:r>
    </w:p>
    <w:p>
      <w:r>
        <w:t>（注：以下基于模板需求预判，待获取API模块3实际返回数据后确认）</w:t>
      </w:r>
    </w:p>
    <w:p>
      <w:pPr>
        <w:pStyle w:val="Heading3"/>
      </w:pPr>
      <w:r>
        <w:t>2.1 3.1 销量概况 — 缺失字段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缺失数据项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严重程度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目标销量（月/季/年）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去年同期销量（用于计算同比增长率/差额）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销量达成率（缺目标值导致无法计算）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销量达成差额（缺目标值导致无法计算）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销量同比增长率（缺同期数导致无法计算）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销量同比差额（缺同期数导致无法计算）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</w:tbl>
    <w:p/>
    <w:p>
      <w:pPr>
        <w:pStyle w:val="Heading3"/>
      </w:pPr>
      <w:r>
        <w:t>2.2 3.2 过程指标预警 — 缺失字段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缺失数据项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严重程度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招商生效客户 — 目标值（月/季/年）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有效落地项目 — 目标值（月/季/年）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打样项目数 — 2025年同期数（月/季/年）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招商生效客户 — 达成率（缺目标值）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有效落地项目 — 达成率（缺目标值）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打样项目数 — 增长率（缺同期数）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招商生效客户 — 差距值（缺目标值）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有效落地项目 — 差距值（缺目标值）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年度存量生效客户20个目标已完成/缺口数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</w:tbl>
    <w:p/>
    <w:p>
      <w:pPr>
        <w:pStyle w:val="Heading3"/>
      </w:pPr>
      <w:r>
        <w:t>2.3 3.3 产品/客户/项目/行业 — 缺失字段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缺失数据项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严重程度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各产品品类销量（真石漆、多彩、底漆等）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各产品品类同比增长率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产销客户总数及同比增长率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客均销量（万元）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销量下降金额TOP3客户名单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产销项目总数及同比增长率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单项目销量（万元）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各行业收入及增长率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各行业收入占比及占比变化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各产品均价（元/KG）及同比涨跌额</w:t>
            </w:r>
          </w:p>
        </w:tc>
        <w:tc>
          <w:tcPr>
            <w:tcW w:type="dxa" w:w="2880"/>
          </w:tcPr>
          <w:p>
            <w:r>
              <w:t>🟡 中（预判）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各产品收入占比及占比变化</w:t>
            </w:r>
          </w:p>
        </w:tc>
        <w:tc>
          <w:tcPr>
            <w:tcW w:type="dxa" w:w="2880"/>
          </w:tcPr>
          <w:p>
            <w:r>
              <w:t>🟡 中（预判）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年度出货项目100个目标已完成/缺口数</w:t>
            </w:r>
          </w:p>
        </w:tc>
        <w:tc>
          <w:tcPr>
            <w:tcW w:type="dxa" w:w="2880"/>
          </w:tcPr>
          <w:p>
            <w:r>
              <w:t>🔴 高（预判）</w:t>
            </w:r>
          </w:p>
        </w:tc>
      </w:tr>
    </w:tbl>
    <w:p/>
    <w:p>
      <w:pPr>
        <w:pStyle w:val="Heading2"/>
      </w:pPr>
      <w:r>
        <w:t>三、缺失数据汇总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已确认缺失（第二章）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预判缺失（第三章）</w:t>
            </w:r>
          </w:p>
        </w:tc>
      </w:tr>
      <w:tr>
        <w:tc>
          <w:tcPr>
            <w:tcW w:type="dxa" w:w="2880"/>
          </w:tcPr>
          <w:p>
            <w:r>
              <w:t>🔴 高优先级</w:t>
            </w:r>
          </w:p>
        </w:tc>
        <w:tc>
          <w:tcPr>
            <w:tcW w:type="dxa" w:w="2880"/>
          </w:tcPr>
          <w:p>
            <w:r>
              <w:t>4项：毛利率、毛利额、全部目标值、全部同期数</w:t>
            </w:r>
          </w:p>
        </w:tc>
        <w:tc>
          <w:tcPr>
            <w:tcW w:type="dxa" w:w="2880"/>
          </w:tcPr>
          <w:p>
            <w:r>
              <w:t>25项：目标值类6项、同期数类6项、维度明细类12项、年度目标1项</w:t>
            </w:r>
          </w:p>
        </w:tc>
      </w:tr>
      <w:tr>
        <w:tc>
          <w:tcPr>
            <w:tcW w:type="dxa" w:w="2880"/>
          </w:tcPr>
          <w:p>
            <w:r>
              <w:t>🟡 中优先级</w:t>
            </w:r>
          </w:p>
        </w:tc>
        <w:tc>
          <w:tcPr>
            <w:tcW w:type="dxa" w:w="2880"/>
          </w:tcPr>
          <w:p>
            <w:r>
              <w:t>2项：人工费缺月维度、其他费用缺月/季维度</w:t>
            </w:r>
          </w:p>
        </w:tc>
        <w:tc>
          <w:tcPr>
            <w:tcW w:type="dxa" w:w="2880"/>
          </w:tcPr>
          <w:p>
            <w:r>
              <w:t>2项：价格数据、结构数据（可能在模块4返回）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>
              <w:t>6 项缺失</w:t>
            </w:r>
          </w:p>
        </w:tc>
        <w:tc>
          <w:tcPr>
            <w:tcW w:type="dxa" w:w="2880"/>
          </w:tcPr>
          <w:p>
            <w:r>
              <w:t>27 项缺失（预判）</w:t>
            </w:r>
          </w:p>
        </w:tc>
      </w:tr>
      <w:tr>
        <w:tc>
          <w:tcPr>
            <w:tcW w:type="dxa" w:w="2880"/>
          </w:tcPr>
          <w:p>
            <w:r>
              <w:t>公共根因</w:t>
            </w:r>
          </w:p>
        </w:tc>
        <w:tc>
          <w:tcPr>
            <w:tcW w:type="dxa" w:w="2880"/>
          </w:tcPr>
          <w:p>
            <w:r>
              <w:t>3个：①目标管理系统未对接 ②API不支持跨年同期查询 ③API缺少营业成本字段</w:t>
            </w:r>
          </w:p>
        </w:tc>
        <w:tc>
          <w:tcPr>
            <w:tcW w:type="dxa" w:w="288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