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ulo"/>
      </w:pPr>
      <w:r>
        <w:t>Informe de práctica de la semana 3</w:t>
      </w:r>
    </w:p>
    <w:p>
      <w:pPr>
        <w:pStyle w:val="Subttulo"/>
      </w:pPr>
      <w:r>
        <w:t>Herencia polimorfismo y sustitución</w:t>
      </w:r>
    </w:p>
    <w:p>
      <w:r>
        <w:t>UNAP · Ingeniería de Sistemas · SIS206 POO II · 2026 II</w:t>
        <w:br/>
        <w:t>S3-001 · 19 de octubre de 2026 · Informe revisado</w:t>
      </w:r>
    </w:p>
    <w:p>
      <w:pPr>
        <w:pStyle w:val="Ttulo1"/>
      </w:pPr>
      <w:r>
        <w:t>1 Propósito y actividades</w:t>
      </w:r>
    </w:p>
    <w:p>
      <w:r>
        <w:t>Implementar una planilla heterogénea de personal, comprobar un contrato común y justificar las relaciones de herencia del proyecto hotelero.</w:t>
      </w:r>
    </w:p>
    <w:p>
      <w:r>
        <w:t>Docente y Administrativo estaban incompletos. La jerarquía necesita preservar remuneración positiva y nombre válido en todos los subtipos. El ejemplo de Cuadrado se conserva como contraejemplo intencional y se ofrece una alternativa con Figura independiente.</w:t>
      </w:r>
    </w:p>
    <w:p>
      <w:pPr>
        <w:pStyle w:val="Ttulo2"/>
      </w:pPr>
      <w:r>
        <w:t>Actividades desarrolladas</w:t>
      </w:r>
    </w:p>
    <w:tbl>
      <w:tblPr>
        <w:tblW w:w="0" w:type="auto"/>
        <w:jc w:val="center"/>
        <w:tblLayout w:type="fixed"/>
        <w:tblLook w:val="04A0" w:firstRow="1" w:lastRow="0" w:firstColumn="1" w:lastColumn="0" w:noHBand="0" w:noVBand="1"/>
      </w:tblPr>
      <w:tblGrid>
        <w:gridCol w:w="1701"/>
        <w:gridCol w:w="3118"/>
        <w:gridCol w:w="5046"/>
      </w:tblGrid>
      <w:tr w:rsidR="001666E4" w14:paraId="53A1F454"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Actividad</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Archivo o componente</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1 IS A y HAS A</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ACTIVIDADES_RESUELTAS.md</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Se justifican las seis relaciones solicitadas.</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2 Planilla</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python/solucion.py</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Docente, Administrativo e Investigador con validación y despacho polimórfico.</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3 Liskov</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python/solucion.py</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Contrato común comprobado; fallo esperado del cuadrado incompatible.</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4 C++</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cpp/solucion.hpp</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Base abstracta, destructor virtual, override y vector de unique_ptr.</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5 Hotel</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python/hotel_herencia.py y cpp/hotel_herencia.hpp</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Simple, Doble y Suite sustituyen a Habitacion al cotizar.</w:t>
            </w:r>
          </w:p>
        </w:tc>
      </w:tr>
    </w:tbl>
    <w:p/>
    <w:p>
      <w:pPr>
        <w:pStyle w:val="Ttulo2"/>
      </w:pPr>
      <w:r>
        <w:t>Caso explicado</w:t>
      </w:r>
    </w:p>
    <w:p>
      <w:r>
        <w:t>La planilla recorre cuatro objetos de personal y les solicita su remuneración mediante el mismo contrato. Las implementaciones calculan S/ 1680, S/ 1620, S/ 3150 y S/ 3000; la suma es S/ 9450. El cliente no necesita preguntar si cada objeto es docente, administrativo o investigador para elegir una fórmula.</w:t>
      </w:r>
    </w:p>
    <w:p>
      <w:pPr>
        <w:pStyle w:val="Ttulo2"/>
      </w:pPr>
      <w:r>
        <w:t>Conceptos para interpretar el caso</w:t>
      </w:r>
    </w:p>
    <w:p>
      <w:r>
        <w:t>Polimorfismo significa que una misma operación se resuelve según el objeto concreto. El principio de sustitución de Liskov exige que un subtipo pueda usarse donde se espera su base sin romper el contrato que el cliente necesita.</w:t>
      </w:r>
    </w:p>
    <w:p>
      <w:r>
        <w:t>La solución y sus pruebas se encuentran en desarrollo. Las respuestas completas y el notebook amplían los ejemplos de este informe.</w:t>
      </w:r>
    </w:p>
    <w:p>
      <w:r>
        <w:br w:type="page"/>
      </w:r>
    </w:p>
    <w:p>
      <w:pPr>
        <w:pStyle w:val="Ttulo1"/>
      </w:pPr>
      <w:r>
        <w:t>2 Desarrollo en Python y C++</w:t>
      </w:r>
    </w:p>
    <w:p>
      <w:r>
        <w:t>La planilla llama calcular_remuneracion o calcularRemuneracion a través del contrato base. No elige fórmulas mediante condicionales sobre el tipo del objeto. Los cuatro ejemplos producen 1680, 1620, 3150 y 3000; el total es 9450.</w:t>
      </w:r>
    </w:p>
    <w:p>
      <w:r>
        <w:t>Se valida que el bono administrativo sea finito y no negativo, además de un salario positivo. Esa regla adicional evita construir una subclase que incumpla el contrato de remuneración positiva. Las horas admiten 1 a 40; las categorías usan los factores 1.0, 1.4 y 1.8.</w:t>
      </w:r>
    </w:p>
    <w:p>
      <w:r>
        <w:t>La regla correcta de Liskov es no fortalecer precondiciones ni debilitar poscondiciones. La formulación inversa de un párrafo de la guía no se usa como regla de implementación. Cambiar las dos dimensiones de CuadradoIncompatible rompe la independencia prometida por Rectangulo.</w:t>
      </w:r>
    </w:p>
    <w:p>
      <w:pPr>
        <w:pStyle w:val="Ttulo2"/>
      </w:pPr>
      <w:r>
        <w:t>Análisis de las seis relaciones</w:t>
      </w:r>
    </w:p>
    <w:tbl>
      <w:tblPr>
        <w:tblW w:w="0" w:type="auto"/>
        <w:jc w:val="center"/>
        <w:tblLayout w:type="fixed"/>
        <w:tblLook w:val="04A0" w:firstRow="1" w:lastRow="0" w:firstColumn="1" w:lastColumn="0" w:noHBand="0" w:noVBand="1"/>
      </w:tblPr>
      <w:tblGrid>
        <w:gridCol w:w="2211"/>
        <w:gridCol w:w="3770"/>
        <w:gridCol w:w="3883"/>
      </w:tblGrid>
      <w:tr w:rsidR="001666E4" w14:paraId="53A1F454" w14:textId="77777777">
        <w:trPr>
          <w:cantSplit/>
          <w:tblHeader/>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Relación analizada</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Decisión</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Justificación</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Posgrado y Estudiante</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IS A</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El subtipo conserva el contrato de estudiante y añade especialización.</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Sensor y Dispositivo</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IS A</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Un sensor es un dispositivo con una función específica.</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Informe e Impresora</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HAS A o dependencia de uso</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El informe utiliza una impresora; no es una impresora.</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LibroDigital y Libro</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IS A con contrato común</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Metadatos y lectura compartidos; no exigir soporte físico en la base.</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Motocicleta y Vehiculo</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IS A</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Comparte el contrato de vehículo y lo especializa.</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Departamento y Empleado</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HAS A por agregación</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Agrupa empleados cuya existencia no depende del departamento.</w:t>
            </w:r>
          </w:p>
        </w:tc>
      </w:tr>
    </w:tbl>
    <w:p/>
    <w:p>
      <w:pPr>
        <w:pStyle w:val="Ttulo2"/>
      </w:pPr>
      <w:r>
        <w:t>Cómo seguir la implementación</w:t>
      </w:r>
    </w:p>
    <w:p>
      <w:r>
        <w:t>Python resuelve calcular_remuneracion() a partir del objeto que recorre la planilla. C++ llama a calcularRemuneracion() mediante un puntero a la base; virtual permite el despacho y override verifica la sobrescritura. unique_ptr administra la propiedad y el destructor virtual permite destruir correctamente los objetos a través de la base.</w:t>
      </w:r>
    </w:p>
    <w:p>
      <w:r>
        <w:br w:type="page"/>
      </w:r>
    </w:p>
    <w:p>
      <w:pPr>
        <w:pStyle w:val="Ttulo1"/>
      </w:pPr>
      <w:r>
        <w:t>3 Verificación y resultados</w:t>
      </w:r>
    </w:p>
    <w:p>
      <w:r>
        <w:t>Las pruebas registradas aprobaron 13 casos Python y 13 casos C++17. Se ejecutaron en Python 3.12.14 y g++ 10.3.0. Las demostraciones de ambos lenguajes producen la misma salida.</w:t>
      </w:r>
    </w:p>
    <w:tbl>
      <w:tblPr>
        <w:tblW w:w="0" w:type="auto"/>
        <w:jc w:val="center"/>
        <w:tblLayout w:type="fixed"/>
        <w:tblLook w:val="04A0" w:firstRow="1" w:lastRow="0" w:firstColumn="1" w:lastColumn="0" w:noHBand="0" w:noVBand="1"/>
      </w:tblPr>
      <w:tblGrid>
        <w:gridCol w:w="3005"/>
        <w:gridCol w:w="2891"/>
        <w:gridCol w:w="3969"/>
      </w:tblGrid>
      <w:tr w:rsidR="001666E4" w14:paraId="53A1F454"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Comprobación</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Registro</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Pruebas Python</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13 aprobadas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evidencias/pruebas_python.txt</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Pruebas C++17</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13 aprobadas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evidencias/pruebas_cpp.txt</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Compilación y demostraciones</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Sin advertencias y salidas iguales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evidencias/verificacion.json</w:t>
            </w:r>
          </w:p>
        </w:tc>
      </w:tr>
    </w:tbl>
    <w:p/>
    <w:p>
      <w:r>
        <w:t>Pytest ejecutó los mismos casos que unittest; sus resultados no se suman como pruebas diferentes. Las compilaciones usaron -Wall, -Wextra, -Wpedantic y -Werror.</w:t>
      </w:r>
    </w:p>
    <w:p>
      <w:pPr>
        <w:pStyle w:val="Ttulo2"/>
      </w:pPr>
      <w:r>
        <w:t>Casos representativos comprobados</w:t>
      </w:r>
    </w:p>
    <w:tbl>
      <w:tblPr>
        <w:tblW w:w="0" w:type="auto"/>
        <w:jc w:val="center"/>
        <w:tblLayout w:type="fixed"/>
        <w:tblLook w:val="04A0" w:firstRow="1" w:lastRow="0" w:firstColumn="1" w:lastColumn="0" w:noHBand="0" w:noVBand="1"/>
      </w:tblPr>
      <w:tblGrid>
        <w:gridCol w:w="3061"/>
        <w:gridCol w:w="3118"/>
        <w:gridCol w:w="3685"/>
      </w:tblGrid>
      <w:tr w:rsidR="001666E4" w14:paraId="53A1F454" w14:textId="77777777">
        <w:trPr>
          <w:cantSplit/>
          <w:tblHeader/>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Caso</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 observado</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Qué demuestra</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Cuatro objetos en la planilla</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Total S/ 9450</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Cada subtipo aporta su cálculo mediante el contrato común.</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CuadradoIncompatible como Rectangulo</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Fallo de contrato esperado y capturado</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La herencia elegida no conserva la independencia entre dimensiones.</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Rectangulo de 4 por 5 y Cuadrado de lado 5</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Áreas 20 y 25</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La alternativa corregida conserva operaciones coherentes.</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Habitaciones simple doble y suite</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Precios 100 150 y 200</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Una misma consulta usa las tres implementaciones.</w:t>
            </w:r>
          </w:p>
        </w:tc>
      </w:tr>
    </w:tbl>
    <w:p/>
    <w:p>
      <w:r>
        <w:t>El fallo del cuadrado incompatible es un resultado esperado de la prueba del contraejemplo. No se oculta un error del programa: se demuestra por qué esa relación de herencia incumple el contrato y se comprueba una alternativa independiente.</w:t>
      </w:r>
    </w:p>
    <w:p>
      <w:pPr>
        <w:pStyle w:val="Ttulo2"/>
      </w:pPr>
      <w:r>
        <w:t>Lectura de la salida</w:t>
      </w:r>
    </w:p>
    <w:p>
      <w:r>
        <w:t>TOTAL=9450.00 es la suma de las cuatro remuneraciones y CONTRATOS=4 confirma que los cuatro objetos cumplen el contrato común. El contraejemplo de Liskov se comprueba por separado como fallo esperado.</w:t>
      </w:r>
    </w:p>
    <w:p>
      <w:r>
        <w:br w:type="page"/>
      </w:r>
    </w:p>
    <w:p>
      <w:pPr>
        <w:pStyle w:val="Ttulo1"/>
      </w:pPr>
      <w:r>
        <w:t>4 Aplicación al hotel y conclusiones</w:t>
      </w:r>
    </w:p>
    <w:p>
      <w:r>
        <w:t>La jerarquía hotelera mantiene una base Habitacion y tres variantes con precio_noche o precioNoche sobrescrito. Una colección heterogénea cotiza 100, 150 y 200 para una tarifa base de 100. La capacidad y los invariantes siguen perteneciendo a la base. En esta etapa, Reserva se documenta como una clase independiente y no hereda de Habitacion.</w:t>
      </w:r>
    </w:p>
    <w:p w14:paraId="651D25B1" w14:textId="77777777" w:rsidR="001666E4" w:rsidRDefault="00D926E6">
      <w:r>
        <w:rPr>
          <w:noProof/>
        </w:rPr>
        <w:drawing>
          <wp:inline distT="0" distB="0" distL="0" distR="0" wp14:anchorId="7B44BD09" wp14:editId="1714EC53">
            <wp:extent cx="6263999" cy="1734101"/>
            <wp:effectExtent l="0" t="0" r="0" b="0"/>
            <wp:docPr id="1" name="Picture 1" descr="Esquema de conceptos de la seman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iniciales.png"/>
                    <pic:cNvPicPr/>
                  </pic:nvPicPr>
                  <pic:blipFill>
                    <a:blip r:embed="rId8"/>
                    <a:stretch>
                      <a:fillRect/>
                    </a:stretch>
                  </pic:blipFill>
                  <pic:spPr>
                    <a:xfrm>
                      <a:off x="0" y="0"/>
                      <a:ext cx="6263999" cy="1734101"/>
                    </a:xfrm>
                    <a:prstGeom prst="rect">
                      <a:avLst/>
                    </a:prstGeom>
                  </pic:spPr>
                </pic:pic>
              </a:graphicData>
            </a:graphic>
          </wp:inline>
        </w:drawing>
      </w:r>
    </w:p>
    <w:p>
      <w:r>
        <w:t>Figura 1 Esquema de los conceptos aplicados al hotel. El diagrama de clases completo se encuentra en docs/uml.</w:t>
      </w:r>
    </w:p>
    <w:p>
      <w:pPr>
        <w:pStyle w:val="Ttulo2"/>
      </w:pPr>
      <w:r>
        <w:t>Conclusión de la práctica</w:t>
      </w:r>
    </w:p>
    <w:p>
      <w:r>
        <w:t>La planilla y las habitaciones usan despacho polimórfico con resultados positivos y verificables. El contraejemplo muestra que la semejanza entre conceptos no basta para justificar herencia; la decisión depende de las operaciones que el cliente espera conservar.</w:t>
      </w:r>
    </w:p>
    <w:p>
      <w:r>
        <w:t>Para comprobar la comprensión, seguir el caso explicado en los dos lenguajes e identificar la validación, el cambio de estado y la prueba que lo verifica. El anexo ACTIVIDADES_RESUELTAS.md desarrolla las preguntas de reflexión.</w:t>
      </w:r>
    </w:p>
    <w:p>
      <w:pPr>
        <w:pStyle w:val="Ttulo2"/>
      </w:pPr>
      <w:r>
        <w:t>Transparencia y datos de entrega</w:t>
      </w:r>
    </w:p>
    <w:p>
      <w:r>
        <w:t>Se utilizó Codex para analizar el material, desarrollar y verificar el código y preparar los documentos. Antes de entregar, completar los datos del estudiante y GitHub. La revisión de pares y la sustentación requieren participación humana.</w:t>
      </w:r>
    </w:p>
    <w:p>
      <w:pPr>
        <w:pStyle w:val="Ttulo2"/>
      </w:pPr>
      <w:r>
        <w:t>Referencias</w:t>
      </w:r>
    </w:p>
    <w:p>
      <w:pPr>
        <w:spacing w:after="80" w:line="240" w:lineRule="auto"/>
        <w:ind w:left="283" w:hanging="283"/>
      </w:pPr>
      <w:r>
        <w:rPr>
          <w:sz w:val="18"/>
        </w:rPr>
        <w:t xml:space="preserve">Fowler, M. (2018). </w:t>
      </w:r>
      <w:r>
        <w:rPr>
          <w:i/>
          <w:sz w:val="18"/>
        </w:rPr>
        <w:t>Refactoring Improving the Design of Existing Code</w:t>
      </w:r>
      <w:r>
        <w:rPr>
          <w:sz w:val="18"/>
        </w:rPr>
        <w:t xml:space="preserve"> (2.ª ed.). Addison Wesley. https://martinfowler.com/books/refactoring.html</w:t>
      </w:r>
    </w:p>
    <w:p>
      <w:pPr>
        <w:spacing w:after="80" w:line="240" w:lineRule="auto"/>
        <w:ind w:left="283" w:hanging="283"/>
      </w:pPr>
      <w:r>
        <w:rPr>
          <w:sz w:val="18"/>
        </w:rPr>
        <w:t xml:space="preserve">Object Management Group. (2017). </w:t>
      </w:r>
      <w:r>
        <w:rPr>
          <w:i/>
          <w:sz w:val="18"/>
        </w:rPr>
        <w:t>OMG Unified Modeling Language Version 2.5.1</w:t>
      </w:r>
      <w:r>
        <w:rPr>
          <w:sz w:val="18"/>
        </w:rPr>
        <w:t>. https://www.omg.org/spec/UML/2.5.1/</w:t>
      </w:r>
    </w:p>
    <w:p>
      <w:pPr>
        <w:spacing w:after="80" w:line="240" w:lineRule="auto"/>
        <w:ind w:left="283" w:hanging="283"/>
      </w:pPr>
      <w:r>
        <w:rPr>
          <w:sz w:val="18"/>
        </w:rPr>
        <w:t xml:space="preserve">Python Software Foundation. (s. f.). </w:t>
      </w:r>
      <w:r>
        <w:rPr>
          <w:i/>
          <w:sz w:val="18"/>
        </w:rPr>
        <w:t>abc — Abstract Base Classes</w:t>
      </w:r>
      <w:r>
        <w:rPr>
          <w:sz w:val="18"/>
        </w:rPr>
        <w:t>. Python 3.12 documentation. https://docs.python.org/3.12/library/abc.html</w:t>
      </w:r>
    </w:p>
    <w:p>
      <w:pPr>
        <w:spacing w:after="80" w:line="240" w:lineRule="auto"/>
        <w:ind w:left="283" w:hanging="283"/>
      </w:pPr>
      <w:r>
        <w:rPr>
          <w:sz w:val="18"/>
        </w:rPr>
        <w:t xml:space="preserve">Zanabria Gálvez, A. H. (2026). </w:t>
      </w:r>
      <w:r>
        <w:rPr>
          <w:i/>
          <w:sz w:val="18"/>
        </w:rPr>
        <w:t>Guía de práctica de laboratorio de la semana 3</w:t>
      </w:r>
      <w:r>
        <w:rPr>
          <w:sz w:val="18"/>
        </w:rPr>
        <w:t>. SIS206 POO II, Universidad Nacional del Altiplano. Material del curso.</w:t>
      </w:r>
    </w:p>
    <w:sectPr w:rsidR="001666E4" w:rsidSect="00034616">
      <w:footerReference w:type="default" r:id="rId9"/>
      <w:pgSz w:w="11906" w:h="16838"/>
      <w:pgMar w:top="935" w:right="1020" w:bottom="935" w:left="1020" w:header="72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B32BB" w14:textId="77777777" w:rsidR="00000000" w:rsidRDefault="00D926E6">
      <w:pPr>
        <w:spacing w:after="0" w:line="240" w:lineRule="auto"/>
      </w:pPr>
      <w:r>
        <w:separator/>
      </w:r>
    </w:p>
  </w:endnote>
  <w:endnote w:type="continuationSeparator" w:id="0">
    <w:p w14:paraId="49553FF5" w14:textId="77777777" w:rsidR="00000000" w:rsidRDefault="00D92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7DE4F" w14:textId="77777777" w:rsidR="001666E4" w:rsidRDefault="00D926E6">
    <w:pPr>
      <w:pStyle w:val="Piedepgina"/>
      <w:jc w:val="right"/>
    </w:pPr>
    <w:r>
      <w:rPr>
        <w:sz w:val="16"/>
      </w:rPr>
      <w:t>SIS206  |  S3-</w:t>
    </w:r>
    <w:r>
      <w:rPr>
        <w:sz w:val="16"/>
      </w:rPr>
      <w:t xml:space="preserve">001  |  Página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AE7DF" w14:textId="77777777" w:rsidR="00000000" w:rsidRDefault="00D926E6">
      <w:pPr>
        <w:spacing w:after="0" w:line="240" w:lineRule="auto"/>
      </w:pPr>
      <w:r>
        <w:separator/>
      </w:r>
    </w:p>
  </w:footnote>
  <w:footnote w:type="continuationSeparator" w:id="0">
    <w:p w14:paraId="18087F42" w14:textId="77777777" w:rsidR="00000000" w:rsidRDefault="00D92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6E4"/>
    <w:rsid w:val="0029639D"/>
    <w:rsid w:val="00326F90"/>
    <w:rsid w:val="00AA1D8D"/>
    <w:rsid w:val="00B47730"/>
    <w:rsid w:val="00CB0664"/>
    <w:rsid w:val="00D926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A30203"/>
  <w14:defaultImageDpi w14:val="300"/>
  <w15:docId w15:val="{BD933C57-FDB4-42E7-9D95-830398CE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ar"/>
    <w:uiPriority w:val="9"/>
    <w:unhideWhenUsed/>
    <w:qFormat/>
    <w:rsid w:val="00FC693F"/>
    <w:pPr>
      <w:keepNext/>
      <w:keepLines/>
      <w:spacing w:before="100"/>
      <w:outlineLvl w:val="1"/>
    </w:pPr>
    <w:rPr>
      <w:rFonts w:asciiTheme="majorHAnsi" w:eastAsiaTheme="majorEastAsia" w:hAnsiTheme="majorHAnsi" w:cstheme="majorBidi"/>
      <w:b/>
      <w:bCs/>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1269</Words>
  <Characters>6932</Characters>
  <Application>Microsoft Office Word</Application>
  <DocSecurity>0</DocSecurity>
  <Lines>176</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practica de la semana 3</dc:title>
  <dc:subject>Diagnóstico refactorización y pruebas en Python y Cpp</dc:subject>
  <dc:creator>Entrega S3-001 con asistencia de Codex</dc:creator>
  <cp:keywords>SIS206 POO II semana 1</cp:keywords>
  <dc:description>generated by python-docx</dc:description>
  <cp:lastModifiedBy>Entrega S3-001 con asistencia de Codex</cp:lastModifiedBy>
  <cp:revision>2</cp:revision>
  <dcterms:created xsi:type="dcterms:W3CDTF">2013-12-23T23:15:00Z</dcterms:created>
  <dcterms:modified xsi:type="dcterms:W3CDTF">2026-10-18T14:44:00Z</dcterms:modified>
  <cp:category/>
</cp:coreProperties>
</file>