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Noto Sans CJK SC" w:hAnsi="Noto Sans CJK SC" w:eastAsia="Noto Sans CJK SC"/>
          <w:b/>
          <w:color w:val="4C886F"/>
          <w:sz w:val="18"/>
        </w:rPr>
        <w:t>TEAM DISCUSSION  /  2026</w:t>
      </w:r>
    </w:p>
    <w:p>
      <w:pPr>
        <w:pStyle w:val="Title"/>
      </w:pPr>
      <w:r>
        <w:t>视鉴 · 视频内容安全</w:t>
        <w:br/>
        <w:t>立项讨论简报</w:t>
      </w:r>
    </w:p>
    <w:p>
      <w:r>
        <w:rPr>
          <w:rFonts w:ascii="Noto Sans CJK SC" w:hAnsi="Noto Sans CJK SC" w:eastAsia="Noto Sans CJK SC"/>
        </w:rPr>
        <w:t>面向2026年中国研究生网络安全创新大赛创意作品赛｜团队讨论稿｜2026年10月12日</w:t>
      </w:r>
    </w:p>
    <w:p>
      <w:r>
        <w:rPr>
          <w:rFonts w:ascii="Noto Sans CJK SC" w:hAnsi="Noto Sans CJK SC" w:eastAsia="Noto Sans CJK SC"/>
          <w:b/>
        </w:rPr>
        <w:t>决策建议：</w:t>
      </w:r>
      <w:r>
        <w:rPr>
          <w:rFonts w:ascii="Noto Sans CJK SC" w:hAnsi="Noto Sans CJK SC" w:eastAsia="Noto Sans CJK SC"/>
        </w:rPr>
        <w:t>优先考虑立项，但需要先完成一次真实Omni视频联调和小规模语义对照测试。此文件不属于参赛作品报告。</w:t>
      </w:r>
    </w:p>
    <w:p>
      <w:pPr>
        <w:pStyle w:val="Heading1"/>
        <w:spacing w:before="200"/>
      </w:pPr>
      <w:r>
        <w:t>1. 我们究竟做什么？</w:t>
      </w:r>
    </w:p>
    <w:p>
      <w:r>
        <w:rPr>
          <w:rFonts w:ascii="Noto Sans CJK SC" w:hAnsi="Noto Sans CJK SC" w:eastAsia="Noto Sans CJK SC"/>
        </w:rPr>
        <w:t>研发一个“短视频内容安全辅助审核系统”：上传有授权的视频后，系统识别潜在风险及视频时间，核对风险是否有相关证据，在语境冲突或事实无法确认时转人工，最后提供可操作的修改建议和可独立打开的HTML报告。</w:t>
      </w:r>
    </w:p>
    <w:p>
      <w:r>
        <w:rPr>
          <w:rFonts w:ascii="Noto Sans CJK SC" w:hAnsi="Noto Sans CJK SC" w:eastAsia="Noto Sans CJK SC"/>
        </w:rPr>
        <w:t>目标不是自动断言某段视频违法，也不是只检测AI生成内容；真人拍摄、人工剪辑、影视与公益教育视频同样适用。</w:t>
      </w:r>
    </w:p>
    <w:p>
      <w:pPr>
        <w:pStyle w:val="Heading1"/>
        <w:spacing w:before="200"/>
      </w:pPr>
      <w:r>
        <w:t>2. 为什么现在选择这个方向？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</w:rPr>
        <w:t>现实需求：2026年5月中央网信办推进短视频内容标注，9月专项整治短视频虚假人设、资格冒充及摆拍误导，说明视频内容治理和审核可追溯性有实际背景。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</w:rPr>
        <w:t>适合当前资源：我们无GPU训练条件，直接使用成熟的全模态模型，研发重心落在轻量PEAD规则引擎、证据关联和真实效果检验。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</w:rPr>
        <w:t>展示路径清晰：用户能上传视频、看到风险时间、回看片段、查看原因和修改建议，还能下载HTML审核报告。</w:t>
      </w:r>
    </w:p>
    <w:p>
      <w:pPr>
        <w:pStyle w:val="ListBullet"/>
        <w:ind w:left="397"/>
      </w:pPr>
      <w:r>
        <w:rPr>
          <w:rFonts w:ascii="Noto Sans CJK SC" w:hAnsi="Noto Sans CJK SC" w:eastAsia="Noto Sans CJK SC"/>
        </w:rPr>
        <w:t>技术价值需验证：已有SafeWatch等多类别审核技术，不能把“接入大模型识别风险”写成创新；要证明证据约束带来可测量的好处。</w:t>
      </w:r>
    </w:p>
    <w:p>
      <w:pPr>
        <w:pStyle w:val="Heading1"/>
        <w:spacing w:before="200"/>
      </w:pPr>
      <w:r>
        <w:t>3. 一条主线，谁做什么？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57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模块</w:t>
            </w:r>
          </w:p>
        </w:tc>
        <w:tc>
          <w:tcPr>
            <w:tcW w:type="dxa" w:w="5669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职责</w:t>
            </w:r>
          </w:p>
        </w:tc>
        <w:tc>
          <w:tcPr>
            <w:tcW w:type="dxa" w:w="1701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原创归属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阿里 Qwen Omni</w:t>
            </w:r>
          </w:p>
        </w:tc>
        <w:tc>
          <w:tcPr>
            <w:tcW w:type="dxa" w:w="5669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直接理解画面、语音和字幕，输出时间证据</w:t>
            </w:r>
          </w:p>
        </w:tc>
        <w:tc>
          <w:tcPr>
            <w:tcW w:type="dxa" w:w="170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第三方模型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TypeSafe Jev</w:t>
            </w:r>
          </w:p>
        </w:tc>
        <w:tc>
          <w:tcPr>
            <w:tcW w:type="dxa" w:w="5669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判断鼓励/警示/无关等文本语义关系，可选</w:t>
            </w:r>
          </w:p>
        </w:tc>
        <w:tc>
          <w:tcPr>
            <w:tcW w:type="dxa" w:w="170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第三方模型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PEAD</w:t>
            </w:r>
          </w:p>
        </w:tc>
        <w:tc>
          <w:tcPr>
            <w:tcW w:type="dxa" w:w="5669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对证据ID、事件关联、时间和不确定性进行规则约束</w:t>
            </w:r>
          </w:p>
        </w:tc>
        <w:tc>
          <w:tcPr>
            <w:tcW w:type="dxa" w:w="170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团队自主实现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阿里 Qwen Max</w:t>
            </w:r>
          </w:p>
        </w:tc>
        <w:tc>
          <w:tcPr>
            <w:tcW w:type="dxa" w:w="5669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按可引用证据生成具体原因与修改建议</w:t>
            </w:r>
          </w:p>
        </w:tc>
        <w:tc>
          <w:tcPr>
            <w:tcW w:type="dxa" w:w="170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第三方模型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FastAPI+SQLite+HTML</w:t>
            </w:r>
          </w:p>
        </w:tc>
        <w:tc>
          <w:tcPr>
            <w:tcW w:type="dxa" w:w="5669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上传、存储、风险展示和报告下载</w:t>
            </w:r>
          </w:p>
        </w:tc>
        <w:tc>
          <w:tcPr>
            <w:tcW w:type="dxa" w:w="170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团队工程集成</w:t>
            </w:r>
          </w:p>
        </w:tc>
      </w:tr>
    </w:tbl>
    <w:p/>
    <w:p>
      <w:pPr>
        <w:pStyle w:val="Heading1"/>
        <w:pageBreakBefore/>
        <w:spacing w:before="200"/>
      </w:pPr>
      <w:r>
        <w:t>4. 第一版做多大？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417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定位</w:t>
            </w:r>
          </w:p>
        </w:tc>
        <w:tc>
          <w:tcPr>
            <w:tcW w:type="dxa" w:w="3175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方向</w:t>
            </w:r>
          </w:p>
        </w:tc>
        <w:tc>
          <w:tcPr>
            <w:tcW w:type="dxa" w:w="4535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理由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核心研究</w:t>
            </w:r>
          </w:p>
        </w:tc>
        <w:tc>
          <w:tcPr>
            <w:tcW w:type="dxa" w:w="317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危险行为呈现 vs 鼓励模仿</w:t>
            </w:r>
          </w:p>
        </w:tc>
        <w:tc>
          <w:tcPr>
            <w:tcW w:type="dxa" w:w="453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最能测试音视频证据是否指向同一事件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核心对照</w:t>
            </w:r>
          </w:p>
        </w:tc>
        <w:tc>
          <w:tcPr>
            <w:tcW w:type="dxa" w:w="317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暴力画面 vs 新闻/影视/安全教育</w:t>
            </w:r>
          </w:p>
        </w:tc>
        <w:tc>
          <w:tcPr>
            <w:tcW w:type="dxa" w:w="453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测试合法上下文对误报与复核的影响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扩展演示</w:t>
            </w:r>
          </w:p>
        </w:tc>
        <w:tc>
          <w:tcPr>
            <w:tcW w:type="dxa" w:w="317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个人隐私暴露</w:t>
            </w:r>
          </w:p>
        </w:tc>
        <w:tc>
          <w:tcPr>
            <w:tcW w:type="dxa" w:w="453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展示单一模态证据的审核能力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扩展演示</w:t>
            </w:r>
          </w:p>
        </w:tc>
        <w:tc>
          <w:tcPr>
            <w:tcW w:type="dxa" w:w="317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营销及职业资质声称</w:t>
            </w:r>
          </w:p>
        </w:tc>
        <w:tc>
          <w:tcPr>
            <w:tcW w:type="dxa" w:w="4535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展示哪些事实必须进行外部核验</w:t>
            </w:r>
          </w:p>
        </w:tc>
      </w:tr>
    </w:tbl>
    <w:p/>
    <w:p>
      <w:pPr>
        <w:pStyle w:val="Heading1"/>
        <w:spacing w:before="200"/>
      </w:pPr>
      <w:r>
        <w:t>5. 替代选题与主要风险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1757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方向</w:t>
            </w:r>
          </w:p>
        </w:tc>
        <w:tc>
          <w:tcPr>
            <w:tcW w:type="dxa" w:w="5783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为什么考虑</w:t>
            </w:r>
          </w:p>
        </w:tc>
        <w:tc>
          <w:tcPr>
            <w:tcW w:type="dxa" w:w="1587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决定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RAG恶意文档</w:t>
            </w:r>
          </w:p>
        </w:tc>
        <w:tc>
          <w:tcPr>
            <w:tcW w:type="dxa" w:w="5783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有数据集、实现相对可控，但不符合当前视频关注点</w:t>
            </w:r>
          </w:p>
        </w:tc>
        <w:tc>
          <w:tcPr>
            <w:tcW w:type="dxa" w:w="158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备选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AI深伪视频</w:t>
            </w:r>
          </w:p>
        </w:tc>
        <w:tc>
          <w:tcPr>
            <w:tcW w:type="dxa" w:w="5783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议题热门，但真实性泛化、数据和训练成本较高</w:t>
            </w:r>
          </w:p>
        </w:tc>
        <w:tc>
          <w:tcPr>
            <w:tcW w:type="dxa" w:w="158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暂缓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视频内容安全</w:t>
            </w:r>
          </w:p>
        </w:tc>
        <w:tc>
          <w:tcPr>
            <w:tcW w:type="dxa" w:w="5783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真实需求、演示直观、云端模型减轻硬件压力</w:t>
            </w:r>
          </w:p>
        </w:tc>
        <w:tc>
          <w:tcPr>
            <w:tcW w:type="dxa" w:w="158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优先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实时直播审核</w:t>
            </w:r>
          </w:p>
        </w:tc>
        <w:tc>
          <w:tcPr>
            <w:tcW w:type="dxa" w:w="5783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长流、并发和低延迟远超当前条件</w:t>
            </w:r>
          </w:p>
        </w:tc>
        <w:tc>
          <w:tcPr>
            <w:tcW w:type="dxa" w:w="1587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不做</w:t>
            </w:r>
          </w:p>
        </w:tc>
      </w:tr>
    </w:tbl>
    <w:p/>
    <w:p>
      <w:r>
        <w:rPr>
          <w:rFonts w:ascii="Noto Sans CJK SC" w:hAnsi="Noto Sans CJK SC" w:eastAsia="Noto Sans CJK SC"/>
        </w:rPr>
        <w:t>最大风险：Omni漏识别或报错时间；Jev不能独立检查视频；PEAD可能只是增加复核却没提高质量；模型接口、跨服务数据授权和素材收集可能阻碍开发。</w:t>
      </w:r>
    </w:p>
    <w:p>
      <w:r>
        <w:rPr>
          <w:rFonts w:ascii="Noto Sans CJK SC" w:hAnsi="Noto Sans CJK SC" w:eastAsia="Noto Sans CJK SC"/>
        </w:rPr>
        <w:t>应对原则：不扩大系统，先用合法短视频验证；对所有“转人工”单独统计，不能算正确识别；没有Jev Key就保守降级；没有真实数据就不宣称准确率提高。</w:t>
      </w:r>
    </w:p>
    <w:p>
      <w:pPr>
        <w:pStyle w:val="Heading1"/>
        <w:spacing w:before="200"/>
      </w:pPr>
      <w:r>
        <w:t>6. 队友需要当场决定的事项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2041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决策项</w:t>
            </w:r>
          </w:p>
        </w:tc>
        <w:tc>
          <w:tcPr>
            <w:tcW w:type="dxa" w:w="5216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  <w:tc>
          <w:tcPr>
            <w:tcW w:type="dxa" w:w="1871"/>
            <w:shd w:fill="E7F1EA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会议结论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是否同意立项</w:t>
            </w:r>
          </w:p>
        </w:tc>
        <w:tc>
          <w:tcPr>
            <w:tcW w:type="dxa" w:w="5216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聚焦“风险证据关系 + 复核分流”</w:t>
            </w:r>
          </w:p>
        </w:tc>
        <w:tc>
          <w:tcPr>
            <w:tcW w:type="dxa" w:w="187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________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API资源</w:t>
            </w:r>
          </w:p>
        </w:tc>
        <w:tc>
          <w:tcPr>
            <w:tcW w:type="dxa" w:w="5216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Omni/Max必需；Jev先测中文再决定</w:t>
            </w:r>
          </w:p>
        </w:tc>
        <w:tc>
          <w:tcPr>
            <w:tcW w:type="dxa" w:w="187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________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测试素材</w:t>
            </w:r>
          </w:p>
        </w:tc>
        <w:tc>
          <w:tcPr>
            <w:tcW w:type="dxa" w:w="5216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优先合法授权、自录或模拟素材</w:t>
            </w:r>
          </w:p>
        </w:tc>
        <w:tc>
          <w:tcPr>
            <w:tcW w:type="dxa" w:w="187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________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分工</w:t>
            </w:r>
          </w:p>
        </w:tc>
        <w:tc>
          <w:tcPr>
            <w:tcW w:type="dxa" w:w="5216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至少明确代码、模型、实验与协调负责人</w:t>
            </w:r>
          </w:p>
        </w:tc>
        <w:tc>
          <w:tcPr>
            <w:tcW w:type="dxa" w:w="187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________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第一里程碑</w:t>
            </w:r>
          </w:p>
        </w:tc>
        <w:tc>
          <w:tcPr>
            <w:tcW w:type="dxa" w:w="5216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让一段真实视频生成可回看的风险HTML报告</w:t>
            </w:r>
          </w:p>
        </w:tc>
        <w:tc>
          <w:tcPr>
            <w:tcW w:type="dxa" w:w="1871"/>
            <w:vAlign w:val="top"/>
          </w:tcPr>
          <w:p>
            <w:pPr>
              <w:spacing w:after="0" w:line="254" w:lineRule="auto"/>
            </w:pPr>
            <w:r>
              <w:rPr>
                <w:rFonts w:ascii="Noto Sans CJK SC" w:hAnsi="Noto Sans CJK SC" w:eastAsia="Noto Sans CJK SC"/>
                <w:sz w:val="16"/>
              </w:rPr>
              <w:t>________</w:t>
            </w:r>
          </w:p>
        </w:tc>
      </w:tr>
    </w:tbl>
    <w:p/>
    <w:p>
      <w:pPr>
        <w:pStyle w:val="Heading1"/>
        <w:spacing w:before="200"/>
      </w:pPr>
      <w:r>
        <w:t>7. 讨论后的立项判断</w:t>
      </w:r>
    </w:p>
    <w:p>
      <w:r>
        <w:rPr>
          <w:rFonts w:ascii="Noto Sans CJK SC" w:hAnsi="Noto Sans CJK SC" w:eastAsia="Noto Sans CJK SC"/>
        </w:rPr>
        <w:t>建议通过立项的条件：真实云端视频API可用；已有原型能处理证据并生成HTML报告；团队能获得合法的正负样本；有人负责独立标注和对照实验。</w:t>
      </w:r>
    </w:p>
    <w:p>
      <w:r>
        <w:rPr>
          <w:rFonts w:ascii="Noto Sans CJK SC" w:hAnsi="Noto Sans CJK SC" w:eastAsia="Noto Sans CJK SC"/>
        </w:rPr>
        <w:t>若核心API或数据不可用：不要继续扩展类别或设计更多页面；应明确降级、收窄研究范围，重新判断投入价值。</w:t>
      </w:r>
    </w:p>
    <w:p>
      <w:pPr>
        <w:pStyle w:val="Heading1"/>
        <w:spacing w:before="200"/>
      </w:pPr>
      <w:r>
        <w:t>核查资料</w:t>
      </w:r>
    </w:p>
    <w:p>
      <w:pPr>
        <w:spacing w:after="40"/>
      </w:pPr>
      <w:r>
        <w:rPr>
          <w:rFonts w:ascii="Noto Sans CJK SC" w:hAnsi="Noto Sans CJK SC" w:eastAsia="Noto Sans CJK SC"/>
          <w:sz w:val="16"/>
        </w:rPr>
        <w:t>2026年短视频标注：https://www.cac.gov.cn/2026-05/12/c_1780328273038196.htm</w:t>
      </w:r>
    </w:p>
    <w:p>
      <w:pPr>
        <w:spacing w:after="40"/>
      </w:pPr>
      <w:r>
        <w:rPr>
          <w:rFonts w:ascii="Noto Sans CJK SC" w:hAnsi="Noto Sans CJK SC" w:eastAsia="Noto Sans CJK SC"/>
          <w:sz w:val="16"/>
        </w:rPr>
        <w:t>2026年虚假人设治理：https://www.cac.gov.cn/2026-09/30/c_1792520301987752.htm</w:t>
      </w:r>
    </w:p>
    <w:p>
      <w:r>
        <w:t>SafeWatch（ICLR 2025）：https://safewatch-aiguard.github.io/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4867E"/>
        <w:sz w:val="16"/>
      </w:rPr>
      <w:t>仅供团队沟通 · 不代表已验证的模型性能 · 版本 v0.5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/>
        <w:color w:val="678277"/>
        <w:sz w:val="16"/>
      </w:rPr>
      <w:t>VIDEOGUARD-E   /   团队内部立项讨论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CJK SC" w:hAnsi="Noto Sans CJK SC"/>
      <w:color w:val="2D3C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oto Sans CJK SC" w:hAnsi="Noto Sans CJK SC"/>
      <w:b/>
      <w:bCs/>
      <w:color w:val="225C4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Noto Sans CJK SC" w:hAnsi="Noto Sans CJK SC"/>
      <w:b/>
      <w:bCs/>
      <w:color w:val="225C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Noto Sans CJK SC" w:hAnsi="Noto Sans CJK SC"/>
      <w:b/>
      <w:color w:val="225C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