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Activity: Visualize the Insight: Exploring Patterns with Python</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08/09/26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Activity: Visualize the Insight: Exploring Patterns with Python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the numeric data, the analysis contained six features and 184,861 complete rows. Since Ward’s hierarchical clustering method could not process the entire data set within the available memory, I used a reproducible sample of 2,000 rows. Four clusters were identified. Cluster 2 was the largest with 1,007 observations, followed by Cluster 3 with 596, Cluster 1 with 294, and Cluster 4 with 103. The PCA scatter plot showed visible separation between the clusters, although some points overlapped. Cluster 2 formed a broad lower band, Cluster 3 formed a tighter lower-left group, Cluster 1 appeared mainly in the upper area, and Cluster 4 was smaller and more dispersed. The first two principal components explained a combined 62.6 percent of the variance. </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showed that MAIN and DISTANCE were important features for separating the clusters. The heatmap showed a normalized MAIN value of 1.00 for Clusters 1, 2, and 3, but 0.00 for Cluster 4. DISTANCE also separated Cluster 1, which had a value of 0.76 compared with 0.00 for Clusters 2 and 3 and 0.20 for Cluster 4. CIPCODE helped distinguish Clusters 2 and 3, with values of 0.41 and 0.89. CREDLEV provided additional separation, while IPEDSCOUNT1 and IPEDSCOUNT2 remained close to 0.01 or 0.02 across all clusters. The raw scatter plot showed that MAIN was binary and DISTANCE contained only a few coded levels, causing many points to overlap at the same locations. </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visualization supported the findings in a different way. The dendrogram showed several branches that remained separate until high Ward distances, which supported the presence of meaningful group differences. The PCA scatter plot used color to make the separation and overlap between clusters visible. The cluster size chart used labeled bars to show that Cluster 2 contained just over half of the sample, while Cluster 4 contained only about five percent. The heatmap used a consistent zero-to-one scale and numerical labels to highlight differences in MAIN, DISTANCE, CIPCODE, and CREDLEV. The trend chart confirmed the sharp difference in MAIN, while the raw scatter plot showed the repeated coded values and overlapping observations. These patterns would have been difficult to identify by reviewing the data table alone. </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six visualization types because each presented a different part of the analysis. The dendrogram displayed the hierarchical clustering structure, while the PCA scatter plot reduced six features to two dimensions. The bar chart compared cluster sizes, the heatmap compared average normalized feature values, and the trend chart compared MAIN across clusters. The final scatter plot examined the relationship between MAIN and DISTANCE. To improve clarity, I used descriptive titles, labeled axes, legends, consistent colors, light gridlines, and numerical annotations. Transparency reduced overlapping points, MinMax scaling placed features on a common scale, and the dendrogram was limited to the final 30 grouped branches to keep it readable.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vq8KM5/4j7PsKnR9lD0yjeAug==">CgMxLjAyDmguYnN6ZjRyZ250dmM1OAByITFQaDBTekNQVml5ZzFVWDg5eDhzeUo1NlprZURSMGFjWA==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