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oto Sans CJK SC" w:hAnsi="Noto Sans CJK SC" w:eastAsia="Noto Sans CJK SC"/>
          <w:b/>
          <w:color w:val="4F46E5"/>
          <w:sz w:val="32"/>
        </w:rPr>
        <w:t>TOKEN ROUTER</w:t>
      </w:r>
    </w:p>
    <w:p>
      <w:pPr>
        <w:spacing w:before="0" w:after="160" w:line="276" w:lineRule="auto"/>
        <w:jc w:val="center"/>
      </w:pPr>
      <w:r>
        <w:rPr>
          <w:rFonts w:ascii="Noto Sans CJK SC" w:hAnsi="Noto Sans CJK SC" w:eastAsia="Noto Sans CJK SC"/>
          <w:b/>
          <w:color w:val="0F172A"/>
          <w:sz w:val="62"/>
        </w:rPr>
        <w:t>企业版 UI 重构项目</w:t>
      </w:r>
    </w:p>
    <w:p>
      <w:pPr>
        <w:spacing w:before="0" w:after="600" w:line="276" w:lineRule="auto"/>
        <w:jc w:val="center"/>
      </w:pPr>
      <w:r>
        <w:rPr>
          <w:rFonts w:ascii="Noto Sans CJK SC" w:hAnsi="Noto Sans CJK SC" w:eastAsia="Noto Sans CJK SC"/>
          <w:b/>
          <w:color w:val="7C3AED"/>
          <w:sz w:val="38"/>
        </w:rPr>
        <w:t>剩余待完成任务清单与交付验收标准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EEF2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F46E5"/>
                <w:sz w:val="18"/>
              </w:rPr>
              <w:t>文档版本</w:t>
            </w:r>
          </w:p>
        </w:tc>
        <w:tc>
          <w:tcPr>
            <w:tcW w:type="dxa" w:w="720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44"/>
            <w:shd w:fill="EEF2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F46E5"/>
                <w:sz w:val="18"/>
              </w:rPr>
              <w:t>基线代码包</w:t>
            </w:r>
          </w:p>
        </w:tc>
        <w:tc>
          <w:tcPr>
            <w:tcW w:type="dxa" w:w="720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token-router-enterprise-progress-1.zip</w:t>
            </w:r>
          </w:p>
        </w:tc>
      </w:tr>
      <w:tr>
        <w:trPr>
          <w:cantSplit/>
        </w:trPr>
        <w:tc>
          <w:tcPr>
            <w:tcW w:type="dxa" w:w="1944"/>
            <w:shd w:fill="EEF2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F46E5"/>
                <w:sz w:val="18"/>
              </w:rPr>
              <w:t>编制日期</w:t>
            </w:r>
          </w:p>
        </w:tc>
        <w:tc>
          <w:tcPr>
            <w:tcW w:type="dxa" w:w="720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2026-06-25</w:t>
            </w:r>
          </w:p>
        </w:tc>
      </w:tr>
      <w:tr>
        <w:trPr>
          <w:cantSplit/>
        </w:trPr>
        <w:tc>
          <w:tcPr>
            <w:tcW w:type="dxa" w:w="1944"/>
            <w:shd w:fill="EEF2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F46E5"/>
                <w:sz w:val="18"/>
              </w:rPr>
              <w:t>交付目标</w:t>
            </w:r>
          </w:p>
        </w:tc>
        <w:tc>
          <w:tcPr>
            <w:tcW w:type="dxa" w:w="720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按 Image 2 原型完成 B 端优先、兼容 C 端的可上线前后端系统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DC2626"/>
          <w:sz w:val="22"/>
        </w:rPr>
        <w:t>文档结论：当前代码已具备企业版原型基础，但尚未达到“整套项目完成、可部署交付”的标准。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F172A"/>
          <w:sz w:val="36"/>
        </w:rPr>
        <w:t>1. 文档目的与状态定义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432"/>
            <w:shd w:fill="EEF2FF"/>
            <w:tcBorders>
              <w:top w:val="single" w:sz="1" w:color="EEF2FF"/>
              <w:left w:val="single" w:sz="20" w:color="4F46E5"/>
              <w:bottom w:val="single" w:sz="1" w:color="EEF2FF"/>
              <w:right w:val="single" w:sz="1" w:color="EEF2FF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4F46E5"/>
                <w:sz w:val="22"/>
              </w:rPr>
              <w:t>使用方式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本文档不是概念建议，而是针对当前代码快照整理的剩余工作清单。后续开发应以任务编号、验收标准和发布门槛逐项关闭，避免“页面看起来完成，但按钮、接口、权限或构建仍不可用”。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1.1 状态口径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“已有代码”：仓库中存在页面、服务或接口实现，不代表已联调、已测试或已达到设计图还原度。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“部分完成”：主视图或基础读接口可用，但关键写操作、权限、审计、导出等业务闭环缺失。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“待验证”：需要在完整依赖、数据库和 Go 1.25.1 环境中重新构建、测试和运行确认。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“完成”：前后端真实数据闭环、无空按钮、权限正确、测试通过、兼容旧系统，并通过视觉验收。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1.2 当前快照已包含的代码基础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管理员 / 普通用户两套中文侧边栏信息架构，以及企业总览 / 个人工作台分流。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企业总览、个人工作台、智能路由控制塔、企业 API Key、渠道与供应商、用量成本、用户权限、计费结算等页面代码。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企业聚合接口、DTO、Service、Controller 与路由；企业 API Key 已覆盖查询、创建、更新、轮换与删除。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Channels、Token Router、Users、Subscriptions 等页面保留经典功能入口，采用兼容式改造方向。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432"/>
            <w:shd w:fill="FEF2F2"/>
            <w:tcBorders>
              <w:top w:val="single" w:sz="1" w:color="FEF2F2"/>
              <w:left w:val="single" w:sz="20" w:color="DC2626"/>
              <w:bottom w:val="single" w:sz="1" w:color="FEF2F2"/>
              <w:right w:val="single" w:sz="1" w:color="FEF2F2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DC2626"/>
                <w:sz w:val="22"/>
              </w:rPr>
              <w:t>重要提示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当前交付快照没有形成可复现的最终构建证据；新增企业模块也没有配套单元测试、集成测试和端到端测试。Go 工具链要求 1.25.1，当前环境无法联网下载。因此，下表中的“代码已有”均需经过 P0 验证后才能计入正式完成。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F172A"/>
          <w:sz w:val="36"/>
        </w:rPr>
        <w:t>2. 当前模块状态总览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224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04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当前代码状态</w:t>
            </w:r>
          </w:p>
        </w:tc>
        <w:tc>
          <w:tcPr>
            <w:tcW w:type="dxa" w:w="1656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2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剩余关键项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企业总览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前端 + 聚合 GET 接口已有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部分完成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指标口径、钻取、告警/审批动作、导出、视觉细节与性能验证。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个人工作台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前端已接旧有自助接口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部分完成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充值、账单、安全、模型授权与普通用户权限完整联调。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智能路由控制塔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读接口 + 主视图已有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部分完成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新建/编辑/审批/启停/回滚、实时拓扑、审计与策略执行闭环。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企业 API Key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列表与 CRUD/轮换已有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59669"/>
                <w:sz w:val="17"/>
              </w:rPr>
              <w:t>可继续集成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批量操作、租户/环境/QPS、审计、密钥安全、导出与隔离测试。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渠道与供应商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列表/详情读视图已有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部分完成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供应商与渠道写操作、测试/余额刷新、SLA/事故、分页导出。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用量与成本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聚合读接口与图表已有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部分完成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后端筛选分页、真实成本/缓存口径、异常检测、导出与大数据性能。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用户与权限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只读治理视图已有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7"/>
              </w:rPr>
              <w:t>待实现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邀请、组织树、角色与权限写操作、SSO/SCIM/MFA、审计。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计费与结算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聚合读视图已有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7"/>
              </w:rPr>
              <w:t>待实现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预算、成本中心、结算单、发票、回款、导出及支付闭环。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全局 UI 壳层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中文侧栏已有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7"/>
              </w:rPr>
              <w:t>待实现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顶部 Workspace/环境/日期/搜索/通知、统一暗色侧栏和响应式视觉系统。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构建与测试</w:t>
            </w:r>
          </w:p>
        </w:tc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缺少可复现报告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7"/>
              </w:rPr>
              <w:t>待验证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前端构建、Go 编译、数据库兼容、测试、E2E、发布包。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172A"/>
          <w:sz w:val="36"/>
        </w:rPr>
        <w:t>3. Image 2 视觉验收基准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475569"/>
          <w:sz w:val="19"/>
        </w:rPr>
        <w:t>以下 8 张原型图必须作为最终页面的视觉与信息架构基准；不能只完成“同类功能页面”，而要实现相同的企业级层次、密度、组件关系与中文文案。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92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seline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9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17"/>
        </w:rPr>
        <w:t>图 1：核心运营与接入页面视觉基准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92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seline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9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17"/>
        </w:rPr>
        <w:t>图 2：分析、治理、计费与个人工作台视觉基准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432"/>
            <w:shd w:fill="F5F3FF"/>
            <w:tcBorders>
              <w:top w:val="single" w:sz="1" w:color="F5F3FF"/>
              <w:left w:val="single" w:sz="20" w:color="7C3AED"/>
              <w:bottom w:val="single" w:sz="1" w:color="F5F3FF"/>
              <w:right w:val="single" w:sz="1" w:color="F5F3FF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7C3AED"/>
                <w:sz w:val="22"/>
              </w:rPr>
              <w:t>视觉完成标准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桌面端应匹配原型的暗色侧栏、企业顶部栏、KPI 卡、图表、右侧治理面板、表格密度和间距；常用 1440px / 1600px 宽度下不得溢出。平板与移动端需要给出合理降级布局，而不是简单横向滚动。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4. P0：先关闭的交付阻塞项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color w:val="475569"/>
          <w:sz w:val="18"/>
        </w:rPr>
        <w:t>P0 未全部关闭前，任何页面均只能算“开发中”，不能打最终交付包。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952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781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 / 验收标准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P0-01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统一唯一主仓库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将完整原仓库与所有 overlay 改动合并到单一目录；保留可审计 diff，删除重复/冲突版本，输出变更清单。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P0-02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可复现前端构建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安装并锁定依赖；执行 typecheck、build、lint、format、copyright；所有新增文件通过，构建产物可启动。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P0-03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后端编译与测试环境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使用 Go 1.25.1；完成 gofmt、go vet、go test ./... 与实际启动；记录失败项并修复。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P0-04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数据库兼容审计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SQLite、MySQL、PostgreSQL 均验证；修复 group 字段引号、聚合 SQL、NULL 与时间函数差异；提供迁移/回滚说明。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P0-05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企业 API 契约统一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统一响应、分页、筛选、排序、错误码与时间范围；生成接口文档；前端类型与 Go DTO 一致。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P0-06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权限与数据隔离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明确 Root/Admin/User 边界；企业接口、密钥、用户、账单、日志均进行越权测试，普通用户不能访问企业聚合数据。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P0-07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新增模块测试基线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为 enterprise service/controller/model 增加单测；为 8 个前端页面增加核心组件/API 测试；建立 E2E 冒烟流程。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P0-08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性能与索引基线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审查日志、Token、渠道、供应商、结算查询；避免全表扫描；给出索引变更与典型数据量性能报告。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5. 优先级 1：智能路由控制塔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color w:val="475569"/>
          <w:sz w:val="18"/>
        </w:rPr>
        <w:t>当前控制塔以“只读观测”为主；最大缺口是策略写操作和执行治理。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952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781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 / 验收标准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CT-01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路由策略创建 / 编辑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“新建路由策略”按钮打开真实表单；支持模型、渠道、供应商、权重、优先级、区域、成本上限、SLA 与生效时间。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CT-02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审批与状态流转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草稿、待审批、已通过、已拒绝、已激活、已停用状态可操作；权限、原因、时间与操作者完整留痕。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CT-03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执行与回滚闭环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策略激活/停用真实影响路由；支持回滚上一个版本；失败时给出可追踪错误与恢复动作。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CT-04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实时拓扑与健康数据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拓扑节点、流量占比、成功率、P95 延迟、备用路径按真实数据刷新；支持自动刷新和手动刷新。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CT-05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SLA / 风险 / 动作联动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风险卡可跳转到对应渠道、策略或行动计划；待执行动作可审批、执行、忽略，并更新状态。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CT-06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策略审计与历史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展示版本差异、变更人、审批人、执行结果；可按策略/时间筛选并导出。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CT-07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控制塔视觉还原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实现原型中的顶部指标、页内 Tabs、流量拓扑、规则面板、健康/变更/风险右栏和活跃策略表格。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6. 优先级 2：企业 API Keys 与客户接入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color w:val="475569"/>
          <w:sz w:val="18"/>
        </w:rPr>
        <w:t>当前已具备基础 CRUD，是最接近形成完整业务闭环的模块。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952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781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 / 验收标准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AK-01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企业接入模型确认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明确“租户/客户/环境”数据来源；决定复用 User/Group 还是新增 Organization/Tenant/Environment 表，并完成迁移。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AK-02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配额与限流治理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支持月度/总量配额、QPS/RPM、模型范围、IP/CIDR 白名单、跨组重试；校验与网关执行一致。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AK-03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密钥安全生命周期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密钥只在创建/轮换后展示一次；支持轮换宽限、立即吊销、过期预警；日志与错误中不得泄露明文。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AK-04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批量操作与导出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批量导出、轮换、启停、吊销、标签和配额调整均可用；危险操作有二次确认与结果报告。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AK-05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客户接入详情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Base URL、Webhook、Client ID、SDK/cURL 示例、复制按钮、回调状态和审计时间线使用真实数据。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AK-06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密钥审计与越权测试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记录创建、读取、修改、轮换、吊销；验证管理员层级和客户数据隔离。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AK-07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API Key 页面视觉还原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匹配原型的 KPI、筛选、密钥表格、环境/模型标签、右侧接入详情和审计面板。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7. 优先级 3：渠道与供应商中心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color w:val="475569"/>
          <w:sz w:val="18"/>
        </w:rPr>
        <w:t>企业视图当前主要是读视图；原经典视图虽保留，但还没有形成统一运营闭环。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952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781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 / 验收标准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CH-01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供应商治理模型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供应商创建、编辑、启停、合同/备注、负责人、区域和标签可维护，并与渠道关联。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CH-02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渠道操作接入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新增、编辑、测试、启停、删除、批量测试、更新余额等操作从企业视图可达且调用真实接口。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CH-03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余额与配额历史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展示余额趋势、配额使用率、低余额阈值与告警；支持手动和定时刷新。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CH-04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SLA 与事故中心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成功率、P95、错误率、事故记录和恢复状态可查询；可跳转日志与路由策略。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CH-05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服务端筛选分页导出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类型、区域、状态、模型、标签、供应商、关键字均由服务端处理；支持排序、分页和 CSV 导出。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CH-06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路由优先级联动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在供应商详情中查看并修改路由优先级/权重，变更同步到控制塔并留审计。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CH-07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渠道中心视觉还原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匹配原型 KPI、密集表格、健康/余额标识和右侧供应商详情抽屉。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8. 其余业务页面待完成项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952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781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 / 验收标准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OV-01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企业总览真实指标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请求量、成功率、P95、成本、毛利、活跃租户按统一口径计算；支持时间范围与数据钻取。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OV-02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总览治理卡片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SLA 告警、待审批、资源风险、近期事件与快捷操作均可点击并落到对应业务。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UA-01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用量筛选与分页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客户、部门、模型、供应商、状态、请求类型、日期筛选在后端生效；日志表格分页与排序。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UA-02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成本口径与异常检测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输入/输出/缓存价格、渠道成本和售卖价统一；异常检测、热点客户和优化建议使用真实规则。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UA-03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报表导出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明细与汇总支持 CSV/XLSX；导出任务可追踪，数据权限与页面一致。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UG-01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组织、成员与角色写操作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邀请成员、创建团队、分配角色、启停用户、批量导入与审计日志可用。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UG-02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SSO / SCIM / MFA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配置页、状态、同步任务和 MFA 策略接真实后端；无能力时不显示伪功能。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BI-01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预算与成本中心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总预算、部门预算、阈值、预测与预警可配置；成本中心分摊规则可审计。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BI-02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账单 / 结算 / 发票闭环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创建结算单、导出、对账、回款、发票状态与下载按钮全部可用。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PW-01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个人工作台自助闭环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普通用户可查看额度、调用、Key、账单、充值、模型授权与安全状态；不依赖管理员接口。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9. 全局 UI、适配与兼容任务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93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952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781"/>
            <w:shd w:fill="4F46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 / 验收标准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UI-01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统一企业 App Shell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实现暗色侧栏、Workspace、环境状态、日期、全局搜索、通知、帮助和头像区域；所有页面统一。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UI-02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设计 Token 与组件库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统一颜色、字号、圆角、阴影、密度、KPI、图表、表格、Badge、空态、错误态与 Skeleton。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UI-03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中文侧栏完整性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除品牌名/行业通用缩写外，左侧导航无英文；B/C 菜单、激活态、折叠态与移动端抽屉一致。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UI-04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响应式适配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1600/1440/1280/1024/768/390px 验证；表格、抽屉、图表和右栏合理折叠，无遮挡。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UI-05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7C3AED"/>
                <w:sz w:val="16"/>
              </w:rPr>
              <w:t>P2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旧页面视觉统一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Models、Wallet、Profile、System Settings、Redemption Codes、Playground 等保持功能并逐步采用同一设计语言。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UI-06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7C3AED"/>
                <w:sz w:val="16"/>
              </w:rPr>
              <w:t>P2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无障碍与主题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键盘操作、焦点、ARIA、对比度、Reduced Motion、浅色/深色模式通过检查。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CP-01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  <w:tc>
          <w:tcPr>
            <w:tcW w:type="dxa" w:w="295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老系统兼容回归</w:t>
            </w:r>
          </w:p>
        </w:tc>
        <w:tc>
          <w:tcPr>
            <w:tcW w:type="dxa" w:w="478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旧 URL、数据库、权限、C 端注册/登录/充值/调用、经典配置视图与 API 行为不被破坏。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F172A"/>
          <w:sz w:val="36"/>
        </w:rPr>
        <w:t>10. 已识别的技术风险与空按钮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936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44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5544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936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R-01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仓库状态分散</w:t>
            </w:r>
          </w:p>
        </w:tc>
        <w:tc>
          <w:tcPr>
            <w:tcW w:type="dxa" w:w="55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当前存在完整进度包及多个局部 overlay 目录，必须先合并为唯一真源，否则后续修改容易丢失或覆盖。</w:t>
            </w:r>
          </w:p>
        </w:tc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R-02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Go 工具链阻塞</w:t>
            </w:r>
          </w:p>
        </w:tc>
        <w:tc>
          <w:tcPr>
            <w:tcW w:type="dxa" w:w="55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项目要求 Go 1.25.1；当前环境无法联网下载，后端尚未形成可复现编译报告。</w:t>
            </w:r>
          </w:p>
        </w:tc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R-03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跨数据库 SQL</w:t>
            </w:r>
          </w:p>
        </w:tc>
        <w:tc>
          <w:tcPr>
            <w:tcW w:type="dxa" w:w="55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Enterprise Token 查询直接使用反引号引用 group，需验证 PostgreSQL；其他聚合查询也应逐项审计。</w:t>
            </w:r>
          </w:p>
        </w:tc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R-04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新增代码无测试</w:t>
            </w:r>
          </w:p>
        </w:tc>
        <w:tc>
          <w:tcPr>
            <w:tcW w:type="dxa" w:w="55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未发现针对 enterprise 新模块的 *_test.go 或前端测试文件。</w:t>
            </w:r>
          </w:p>
        </w:tc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R-05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多处按钮无处理逻辑</w:t>
            </w:r>
          </w:p>
        </w:tc>
        <w:tc>
          <w:tcPr>
            <w:tcW w:type="dxa" w:w="55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“新建路由策略”“生成结算单”“导出账单”“费用分析”“在经典管理中编辑”等目前仅展示。</w:t>
            </w:r>
          </w:p>
        </w:tc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R-06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读接口替代业务闭环</w:t>
            </w:r>
          </w:p>
        </w:tc>
        <w:tc>
          <w:tcPr>
            <w:tcW w:type="dxa" w:w="55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Channels、Control Tower、Users、Billing 的新版页面以聚合读取为主，缺少写接口与状态流转。</w:t>
            </w:r>
          </w:p>
        </w:tc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R-07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大表聚合性能</w:t>
            </w:r>
          </w:p>
        </w:tc>
        <w:tc>
          <w:tcPr>
            <w:tcW w:type="dxa" w:w="55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用量、渠道和控制塔按时间范围聚合日志，需索引、分页、缓存或预聚合，否则数据量上升后可能超时。</w:t>
            </w:r>
          </w:p>
        </w:tc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C2626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R-08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视觉壳层未完全还原</w:t>
            </w:r>
          </w:p>
        </w:tc>
        <w:tc>
          <w:tcPr>
            <w:tcW w:type="dxa" w:w="5544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6"/>
              </w:rPr>
              <w:t>中文侧栏已改，但 Image 2 中的企业顶部栏、统一暗色导航、右侧治理栏和细节密度仍需系统化实现。</w:t>
            </w:r>
          </w:p>
        </w:tc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4" w:color="E2E8F0"/>
            </w:tcBorders>
            <w:shd w:fill="F8FAFC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16"/>
              </w:rPr>
              <w:t>P1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F172A"/>
          <w:sz w:val="36"/>
        </w:rPr>
        <w:t>11. 开发前需要确认的产品决策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企业租户模型：继续使用 User + Group，还是新增 Organization / Tenant / Department / Environment。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审批工作流：哪些策略、渠道、价格、密钥变更必须审批；审批角色和自动通过条件。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成本与收入口径：币种、汇率、缓存计费、渠道成本、售卖价、毛利和税费。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账单与发票：仅做内部账单，还是对接支付、电子发票、回款状态和会计周期。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SSO / SCIM：目标协议和身份提供商；是否列入本次上线硬性范围。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SLA：成功率、P95/P99、超时、错误率阈值及事件升级/恢复规则。</w:t>
      </w:r>
    </w:p>
    <w:p>
      <w:pPr>
        <w:pStyle w:val="ListBullet"/>
        <w:spacing w:before="0" w:after="40" w:line="283" w:lineRule="auto"/>
        <w:ind w:left="312" w:hanging="142"/>
      </w:pPr>
      <w:r>
        <w:rPr>
          <w:rFonts w:ascii="Noto Sans CJK SC" w:hAnsi="Noto Sans CJK SC" w:eastAsia="Noto Sans CJK SC"/>
          <w:color w:val="0F172A"/>
          <w:sz w:val="19"/>
        </w:rPr>
        <w:t>历史数据：是否需要迁移为企业维度，及旧用户/Key/日志的默认归属规则。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432"/>
            <w:shd w:fill="FFFBEB"/>
            <w:tcBorders>
              <w:top w:val="single" w:sz="1" w:color="FFFBEB"/>
              <w:left w:val="single" w:sz="20" w:color="D97706"/>
              <w:bottom w:val="single" w:sz="1" w:color="FFFBEB"/>
              <w:right w:val="single" w:sz="1" w:color="FFFBEB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2"/>
              </w:rPr>
              <w:t>建议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若暂不新增完整多租户表，可先以 User.Group 作为“客户/部门”兼容层，但接口和前端类型应预留 tenant_id / organization_id，避免第二次大改。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F172A"/>
          <w:sz w:val="36"/>
        </w:rPr>
        <w:t>12. 推荐实施顺序与里程碑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48"/>
            <w:shd w:fill="4F46E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M1 · 可构建基线</w:t>
            </w:r>
          </w:p>
        </w:tc>
        <w:tc>
          <w:tcPr>
            <w:tcW w:type="dxa" w:w="698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关闭 P0-01 至 P0-08；形成唯一仓库、构建报告、数据库验证和测试骨架。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48"/>
            <w:shd w:fill="4F46E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M2 · 核心商业闭环</w:t>
            </w:r>
          </w:p>
        </w:tc>
        <w:tc>
          <w:tcPr>
            <w:tcW w:type="dxa" w:w="698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依次完成控制塔、企业 API Keys、渠道供应商；所有主要按钮真实可用。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48"/>
            <w:shd w:fill="4F46E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M3 · 运营治理闭环</w:t>
            </w:r>
          </w:p>
        </w:tc>
        <w:tc>
          <w:tcPr>
            <w:tcW w:type="dxa" w:w="698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完成总览、用量成本、用户权限、计费结算、个人工作台。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48"/>
            <w:shd w:fill="4F46E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M4 · UI 还原与兼容</w:t>
            </w:r>
          </w:p>
        </w:tc>
        <w:tc>
          <w:tcPr>
            <w:tcW w:type="dxa" w:w="698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按 8 张 Image 2 原型逐页验收，完成响应式、旧系统回归和无障碍。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48"/>
            <w:shd w:fill="4F46E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M5 · 发布交付</w:t>
            </w:r>
          </w:p>
        </w:tc>
        <w:tc>
          <w:tcPr>
            <w:tcW w:type="dxa" w:w="698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0F172A"/>
                <w:sz w:val="18"/>
              </w:rPr>
              <w:t>完成安全/性能/E2E、文档、迁移、回滚、Docker 构建和最终 ZIP。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F172A"/>
          <w:sz w:val="36"/>
        </w:rPr>
        <w:t>13. 最终交付 Definition of Done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13.1 功能完成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8 张 Image 2 原型对应页面均使用真实数据，主要按钮无空实现。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优先级 1、2、3 模块形成“查看—修改—审批/确认—执行—审计”的完整闭环。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管理员与普通用户体验分离，普通用户功能完整保留。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经典页面、旧 URL、旧数据库及现有 API 客户端保持兼容。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13.2 工程质量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前端 typecheck / build / lint / format 通过，后端 go test ./... 通过。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SQLite、MySQL、PostgreSQL 至少完成自动化或明确的人工验证。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权限、密钥泄露、越权、输入校验、批量操作和审计通过安全检查。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核心聚合接口在目标数据量下达到约定性能，具有分页、索引与缓存策略。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关键业务 E2E、响应式和视觉回归测试通过。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4F46E5"/>
          <w:sz w:val="28"/>
        </w:rPr>
        <w:t>13.3 交付物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完整源码 ZIP（单一仓库，不含重复 overlay）。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数据库迁移与回滚脚本。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企业 API 文档、权限矩阵和数据口径说明。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构建/测试/安全/性能报告及 8 个最终页面截图。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部署说明、环境变量、Docker 镜像或 Compose、升级与回滚步骤。</w:t>
      </w:r>
    </w:p>
    <w:p>
      <w:pPr>
        <w:spacing w:before="0" w:after="40" w:line="283" w:lineRule="auto"/>
        <w:ind w:left="227" w:hanging="142"/>
      </w:pPr>
      <w:r>
        <w:rPr>
          <w:rFonts w:ascii="Noto Sans CJK SC" w:hAnsi="Noto Sans CJK SC" w:eastAsia="Noto Sans CJK SC"/>
          <w:b/>
          <w:color w:val="4F46E5"/>
          <w:sz w:val="20"/>
        </w:rPr>
        <w:t xml:space="preserve">□ </w:t>
      </w:r>
      <w:r>
        <w:rPr>
          <w:rFonts w:ascii="Noto Sans CJK SC" w:hAnsi="Noto Sans CJK SC" w:eastAsia="Noto Sans CJK SC"/>
          <w:color w:val="0F172A"/>
          <w:sz w:val="18"/>
        </w:rPr>
        <w:t>变更日志与已知限制清单。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432"/>
            <w:shd w:fill="ECFDF5"/>
            <w:tcBorders>
              <w:top w:val="single" w:sz="1" w:color="ECFDF5"/>
              <w:left w:val="single" w:sz="20" w:color="059669"/>
              <w:bottom w:val="single" w:sz="1" w:color="ECFDF5"/>
              <w:right w:val="single" w:sz="1" w:color="ECFDF5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059669"/>
                <w:sz w:val="22"/>
              </w:rPr>
              <w:t>最终判定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只有上述清单全部关闭，项目才能标记为“整个系统完成”。当前最先应执行的是：统一主仓库 → 可复现构建 → 后端编译/数据库兼容 → 控制塔写闭环 → API Key 闭环 → 渠道供应商闭环。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488"/>
      <w:gridCol w:w="2016"/>
    </w:tblGrid>
    <w:tr>
      <w:tc>
        <w:tcPr>
          <w:tcW w:type="dxa" w:w="4752"/>
        </w:tcPr>
        <w:p>
          <w:r>
            <w:rPr>
              <w:rFonts w:ascii="Noto Sans CJK SC" w:hAnsi="Noto Sans CJK SC" w:eastAsia="Noto Sans CJK SC"/>
              <w:color w:val="475569"/>
              <w:sz w:val="16"/>
            </w:rPr>
            <w:t>剩余待完成任务清单与交付验收标准 · v1.0</w:t>
          </w:r>
        </w:p>
      </w:tc>
      <w:tc>
        <w:tcPr>
          <w:tcW w:type="dxa" w:w="4752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475569"/>
              <w:sz w:val="18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 w:eastAsia="Noto Sans CJK SC"/>
              <w:color w:val="475569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4F46E5"/>
        <w:sz w:val="17"/>
      </w:rPr>
      <w:t>TOKEN ROUTER · 企业版重构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C3A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Router 企业版重构项目——剩余待完成任务清单与交付验收标准</dc:title>
  <dc:subject>企业版 UI 重构、前后端集成、测试与发布任务清单</dc:subject>
  <dc:creator>OpenAI</dc:creator>
  <cp:keywords>Token Router, 企业版, UI重构, 待完成任务, 验收标准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