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0" w:type="dxa"/>
          <w:left w:w="1200" w:type="dxa"/>
          <w:bottom w:w="0" w:type="dxa"/>
          <w:right w:w="800" w:type="dxa"/>
        </w:tblCellMar>
      </w:tblPr>
      <w:tblGrid>
        <w:gridCol w:w="8788"/>
      </w:tblGrid>
      <w:tr>
        <w:trPr>
          <w:trHeight w:val="7500" w:hRule="exact"/>
        </w:trPr>
        <w:tc>
          <w:tcPr>
            <w:tcW w:type="dxa" w:w="9026"/>
            <w:shd w:val="clear" w:color="auto" w:fill="1A2330"/>
            <w:vAlign w:val="top"/>
          </w:tcPr>
          <w:p>
            <w:pPr>
              <w:spacing w:before="4100" w:after="0" w:line="240" w:lineRule="auto"/>
            </w:pPr>
          </w:p>
          <w:p>
            <w:pPr>
              <w:spacing w:after="500" w:line="240" w:lineRule="auto"/>
            </w:pPr>
            <w:r>
              <w:rPr>
                <w:rFonts w:ascii="Calibri" w:hAnsi="Calibri" w:eastAsia="SimSun"/>
                <w:b w:val="0"/>
                <w:i w:val="0"/>
                <w:color w:val="D4875A"/>
                <w:sz w:val="18"/>
              </w:rPr>
              <w:t>A I   E N G I N E E R I N G   W O R K F L O W</w:t>
            </w:r>
          </w:p>
          <w:p>
            <w:pPr>
              <w:spacing w:after="200" w:line="920" w:lineRule="atLeast"/>
            </w:pPr>
            <w:r>
              <w:rPr>
                <w:rFonts w:ascii="Arial" w:hAnsi="Arial" w:eastAsia="SimHei"/>
                <w:b/>
                <w:i w:val="0"/>
                <w:color w:val="FFFFFF"/>
                <w:sz w:val="80"/>
              </w:rPr>
              <w:t>AI 辅助工程学习方案</w:t>
            </w:r>
          </w:p>
          <w:p>
            <w:pPr>
              <w:spacing w:after="10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B0B8C0"/>
                <w:sz w:val="24"/>
              </w:rPr>
              <w:t>STM32 测控系统毕业设计 · 人机分工与工程闭环实践</w:t>
            </w:r>
          </w:p>
        </w:tc>
      </w:tr>
      <w:tr>
        <w:trPr>
          <w:trHeight w:val="60" w:hRule="exact"/>
        </w:trPr>
        <w:tc>
          <w:tcPr>
            <w:tcW w:type="dxa" w:w="9026"/>
            <w:shd w:val="clear" w:color="auto" w:fill="D4875A"/>
          </w:tcPr>
          <w:p>
            <w:pPr>
              <w:spacing w:before="0" w:after="0" w:line="30" w:lineRule="exact"/>
              <w:rPr>
                <w:sz w:val="2"/>
              </w:rPr>
            </w:pPr>
          </w:p>
        </w:tc>
      </w:tr>
      <w:tr>
        <w:trPr>
          <w:trHeight w:val="9038" w:hRule="exact"/>
        </w:trPr>
        <w:tc>
          <w:tcPr>
            <w:tcW w:type="dxa" w:w="9026"/>
            <w:vAlign w:val="top"/>
          </w:tcPr>
          <w:p>
            <w:pPr>
              <w:spacing w:before="800" w:after="0" w:line="240" w:lineRule="auto"/>
            </w:pPr>
          </w:p>
          <w:p>
            <w:pPr>
              <w:spacing w:after="120" w:line="312" w:lineRule="auto"/>
            </w:pPr>
            <w:r>
              <w:rPr>
                <w:rFonts w:ascii="Arial" w:hAnsi="Arial" w:eastAsia="Microsoft YaHei"/>
                <w:b w:val="0"/>
                <w:i w:val="0"/>
                <w:color w:val="4A5460"/>
                <w:sz w:val="28"/>
              </w:rPr>
              <w:t>文档类型：个人学习与开发实施方案</w:t>
            </w:r>
          </w:p>
          <w:p>
            <w:pPr>
              <w:spacing w:after="120" w:line="312" w:lineRule="auto"/>
            </w:pPr>
            <w:r>
              <w:rPr>
                <w:rFonts w:ascii="Arial" w:hAnsi="Arial" w:eastAsia="Microsoft YaHei"/>
                <w:b w:val="0"/>
                <w:i w:val="0"/>
                <w:color w:val="4A5460"/>
                <w:sz w:val="28"/>
              </w:rPr>
              <w:t>适用项目：基于 STM32F103C8T6 的测控系统毕业设计</w:t>
            </w:r>
          </w:p>
          <w:p>
            <w:pPr>
              <w:spacing w:after="120" w:line="312" w:lineRule="auto"/>
            </w:pPr>
            <w:r>
              <w:rPr>
                <w:rFonts w:ascii="Arial" w:hAnsi="Arial" w:eastAsia="Microsoft YaHei"/>
                <w:b w:val="0"/>
                <w:i w:val="0"/>
                <w:color w:val="4A5460"/>
                <w:sz w:val="28"/>
              </w:rPr>
              <w:t>编 制 人：【姓名】</w:t>
            </w:r>
          </w:p>
          <w:p>
            <w:pPr>
              <w:spacing w:after="120" w:line="312" w:lineRule="auto"/>
            </w:pPr>
            <w:r>
              <w:rPr>
                <w:rFonts w:ascii="Arial" w:hAnsi="Arial" w:eastAsia="Microsoft YaHei"/>
                <w:b w:val="0"/>
                <w:i w:val="0"/>
                <w:color w:val="4A5460"/>
                <w:sz w:val="28"/>
              </w:rPr>
              <w:t>编制日期：2026 年 9 月 13 日</w:t>
            </w:r>
          </w:p>
          <w:p>
            <w:pPr>
              <w:spacing w:after="120" w:line="312" w:lineRule="auto"/>
            </w:pPr>
            <w:r>
              <w:rPr>
                <w:rFonts w:ascii="Arial" w:hAnsi="Arial" w:eastAsia="Microsoft YaHei"/>
                <w:b w:val="0"/>
                <w:i w:val="0"/>
                <w:color w:val="4A5460"/>
                <w:sz w:val="28"/>
              </w:rPr>
              <w:t>计划周期：16 周（2026 年 9 月 14 日 至 2027 年 1 月 3 日）</w:t>
            </w:r>
          </w:p>
          <w:p>
            <w:pPr>
              <w:spacing w:before="1800" w:after="0" w:line="240" w:lineRule="auto"/>
            </w:pPr>
          </w:p>
          <w:p>
            <w:pPr>
              <w:spacing w:line="240" w:lineRule="auto"/>
            </w:pPr>
            <w:r>
              <w:rPr>
                <w:rFonts w:ascii="Arial" w:hAnsi="Arial" w:eastAsia="SimSun"/>
                <w:b w:val="0"/>
                <w:i w:val="0"/>
                <w:color w:val="909090"/>
                <w:sz w:val="22"/>
              </w:rPr>
              <w:t>AI-ASSISTED ENGINEERING WORKFLOW</w:t>
            </w:r>
            <w:r>
              <w:t xml:space="preserve">                                </w:t>
            </w:r>
            <w:r>
              <w:rPr>
                <w:rFonts w:ascii="Arial" w:hAnsi="Arial" w:eastAsia="SimSun"/>
                <w:b w:val="0"/>
                <w:i w:val="0"/>
                <w:color w:val="909090"/>
                <w:sz w:val="22"/>
              </w:rPr>
              <w:t>2026.09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</w:pPr>
      <w:bookmarkStart w:id="100000" w:name="_Toc100000"/>
      <w:r>
        <w:t>执行摘要</w:t>
      </w:r>
      <w:bookmarkEnd w:id="100000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本方案面向基于 STM32F103C8T6 的测控系统毕业设计课题，针对单人同时承担固件开发、上位机开发、硬件设计与测试验证所面临的精力与能力矛盾，提出一套人机分工、多模型协作的 AI 辅助工程学习方法。方案的核心是重新定位个人角色：本人承担项目经理与硬件工程师职责，负责需求定义、系统架构决策、硬件选型与接线、实物测试与最终验收；人工智能模型按工种组成虚拟团队，分别承担系统架构设计、快速原型编码、疑难故障诊断与代码审查工程化四类工作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方案规划了 16 周的四阶段实施路径：第 1 至 3 周补齐嵌入式基础与工具链，第 4 至 8 周完成 ADC、PWM、UART、超声波与 LabVIEW 上位机等功能模块的原型开发与实物验证，第 9 至 12 周完成系统集成、通信协议制定与 PCB 设计打样，第 13 至 16 周完成工程化交付与毕业设计材料整理。方案同时明确了四条流程红线：禁止“AI 写代码、烧录、能跑即完事”的工作模式；所有 AI 产出的结论必须经过示波器、万用表等实测手段验证；每个关键设计点背后的“为什么”必须能够独立回答；实物安全优先于进度。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按本方案执行，最终交付物不仅是一套可运行的测控系统（硬件原理图与 PCB、STM32 固件工程、LabVIEW 上位机、测试记录与文档），更是一套可复用的 AI 辅助工程工作流，以及一段面向质量、工艺、项目与自动化类岗位、有完整过程记录支撑的项目履历。方案末章还基于公开技术社区资料设计了创新点与答辩准备要点，并整理了分类的参考资源清单，便于各阶段按图索骥。</w:t>
      </w:r>
      <w:r>
        <w:br w:type="page"/>
      </w:r>
    </w:p>
    <w:p>
      <w:pPr>
        <w:keepNext w:val="0"/>
        <w:spacing w:before="240" w:after="24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32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执行摘要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1" w:history="1">
        <w:r>
          <w:rPr>
            <w:rStyle w:val="Hyperlink"/>
          </w:rPr>
          <w:t>1 方案背景与总体目标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2" w:history="1">
        <w:r>
          <w:rPr>
            <w:rStyle w:val="Hyperlink"/>
          </w:rPr>
          <w:t>1.1 背景与现状分析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3" w:history="1">
        <w:r>
          <w:rPr>
            <w:rStyle w:val="Hyperlink"/>
          </w:rPr>
          <w:t>1.2 总体目标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4" w:history="1">
        <w:r>
          <w:rPr>
            <w:rStyle w:val="Hyperlink"/>
          </w:rPr>
          <w:t>1.3 角色定位与职责边界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5" w:history="1">
        <w:r>
          <w:rPr>
            <w:rStyle w:val="Hyperlink"/>
          </w:rPr>
          <w:t>2 AI 工程团队的分工与职责边界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2.1 分工总则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7" w:history="1">
        <w:r>
          <w:rPr>
            <w:rStyle w:val="Hyperlink"/>
          </w:rPr>
          <w:t>2.2 模型调用策略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8" w:history="1">
        <w:r>
          <w:rPr>
            <w:rStyle w:val="Hyperlink"/>
          </w:rPr>
          <w:t>3 工程闭环工作流程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9" w:history="1">
        <w:r>
          <w:rPr>
            <w:rStyle w:val="Hyperlink"/>
          </w:rPr>
          <w:t>3.1 流程总览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0" w:history="1">
        <w:r>
          <w:rPr>
            <w:rStyle w:val="Hyperlink"/>
          </w:rPr>
          <w:t>3.2 流程红线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1" w:history="1">
        <w:r>
          <w:rPr>
            <w:rStyle w:val="Hyperlink"/>
          </w:rPr>
          <w:t>4 分阶段学习与实施计划（16 周）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4.1 阶段总览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3" w:history="1">
        <w:r>
          <w:rPr>
            <w:rStyle w:val="Hyperlink"/>
          </w:rPr>
          <w:t>4.2 阶段一：嵌入式基础与工具链（第 1–3 周）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4" w:history="1">
        <w:r>
          <w:rPr>
            <w:rStyle w:val="Hyperlink"/>
          </w:rPr>
          <w:t>4.3 阶段二：功能模块开发与实物验证（第 4–8 周）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5" w:history="1">
        <w:r>
          <w:rPr>
            <w:rStyle w:val="Hyperlink"/>
          </w:rPr>
          <w:t>4.4 阶段三：系统集成与 PCB（第 9–12 周）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6" w:history="1">
        <w:r>
          <w:rPr>
            <w:rStyle w:val="Hyperlink"/>
          </w:rPr>
          <w:t>4.5 阶段四：工程化交付与毕设材料（第 13–16 周）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7" w:history="1">
        <w:r>
          <w:rPr>
            <w:rStyle w:val="Hyperlink"/>
          </w:rPr>
          <w:t>5 必须亲自掌握的核心知识清单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8" w:history="1">
        <w:r>
          <w:rPr>
            <w:rStyle w:val="Hyperlink"/>
          </w:rPr>
          <w:t>5.1 清单使用说明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9" w:history="1">
        <w:r>
          <w:rPr>
            <w:rStyle w:val="Hyperlink"/>
          </w:rPr>
          <w:t>5.2 核心问题与验证方式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0" w:history="1">
        <w:r>
          <w:rPr>
            <w:rStyle w:val="Hyperlink"/>
          </w:rPr>
          <w:t>6 测试与实物验证方法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1" w:history="1">
        <w:r>
          <w:rPr>
            <w:rStyle w:val="Hyperlink"/>
          </w:rPr>
          <w:t>6.1 测试原则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2" w:history="1">
        <w:r>
          <w:rPr>
            <w:rStyle w:val="Hyperlink"/>
          </w:rPr>
          <w:t>6.2 测试工具与典型检查项</w:t>
        </w:r>
        <w:r>
          <w:tab/>
        </w:r>
        <w:r>
          <w:fldChar w:fldCharType="begin"/>
        </w:r>
        <w:r>
          <w:instrText xml:space="preserve"> PAGEREF _Toc100022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3" w:history="1">
        <w:r>
          <w:rPr>
            <w:rStyle w:val="Hyperlink"/>
          </w:rPr>
          <w:t>6.3 测试记录规范</w:t>
        </w:r>
        <w:r>
          <w:tab/>
        </w:r>
        <w:r>
          <w:fldChar w:fldCharType="begin"/>
        </w:r>
        <w:r>
          <w:instrText xml:space="preserve"> PAGEREF _Toc100023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4" w:history="1">
        <w:r>
          <w:rPr>
            <w:rStyle w:val="Hyperlink"/>
          </w:rPr>
          <w:t>7 工程资产与文档管理</w:t>
        </w:r>
        <w:r>
          <w:tab/>
        </w:r>
        <w:r>
          <w:fldChar w:fldCharType="begin"/>
        </w:r>
        <w:r>
          <w:instrText xml:space="preserve"> PAGEREF _Toc100024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5" w:history="1">
        <w:r>
          <w:rPr>
            <w:rStyle w:val="Hyperlink"/>
          </w:rPr>
          <w:t>7.1 项目目录结构</w:t>
        </w:r>
        <w:r>
          <w:tab/>
        </w:r>
        <w:r>
          <w:fldChar w:fldCharType="begin"/>
        </w:r>
        <w:r>
          <w:instrText xml:space="preserve"> PAGEREF _Toc100025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6" w:history="1">
        <w:r>
          <w:rPr>
            <w:rStyle w:val="Hyperlink"/>
          </w:rPr>
          <w:t>7.2 版本与文档规范</w:t>
        </w:r>
        <w:r>
          <w:tab/>
        </w:r>
        <w:r>
          <w:fldChar w:fldCharType="begin"/>
        </w:r>
        <w:r>
          <w:instrText xml:space="preserve"> PAGEREF _Toc100026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7" w:history="1">
        <w:r>
          <w:rPr>
            <w:rStyle w:val="Hyperlink"/>
          </w:rPr>
          <w:t>8 风险分析与应对措施</w:t>
        </w:r>
        <w:r>
          <w:tab/>
        </w:r>
        <w:r>
          <w:fldChar w:fldCharType="begin"/>
        </w:r>
        <w:r>
          <w:instrText xml:space="preserve"> PAGEREF _Toc100027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8" w:history="1">
        <w:r>
          <w:rPr>
            <w:rStyle w:val="Hyperlink"/>
          </w:rPr>
          <w:t>9 预期成果与能力沉淀</w:t>
        </w:r>
        <w:r>
          <w:tab/>
        </w:r>
        <w:r>
          <w:fldChar w:fldCharType="begin"/>
        </w:r>
        <w:r>
          <w:instrText xml:space="preserve"> PAGEREF _Toc100028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9" w:history="1">
        <w:r>
          <w:rPr>
            <w:rStyle w:val="Hyperlink"/>
          </w:rPr>
          <w:t>9.1 预期交付成果</w:t>
        </w:r>
        <w:r>
          <w:tab/>
        </w:r>
        <w:r>
          <w:fldChar w:fldCharType="begin"/>
        </w:r>
        <w:r>
          <w:instrText xml:space="preserve"> PAGEREF _Toc100029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0" w:history="1">
        <w:r>
          <w:rPr>
            <w:rStyle w:val="Hyperlink"/>
          </w:rPr>
          <w:t>9.2 能力沉淀与求职表述</w:t>
        </w:r>
        <w:r>
          <w:tab/>
        </w:r>
        <w:r>
          <w:fldChar w:fldCharType="begin"/>
        </w:r>
        <w:r>
          <w:instrText xml:space="preserve"> PAGEREF _Toc100030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1" w:history="1">
        <w:r>
          <w:rPr>
            <w:rStyle w:val="Hyperlink"/>
          </w:rPr>
          <w:t>10 创新点设计与答辩准备</w:t>
        </w:r>
        <w:r>
          <w:tab/>
        </w:r>
        <w:r>
          <w:fldChar w:fldCharType="begin"/>
        </w:r>
        <w:r>
          <w:instrText xml:space="preserve"> PAGEREF _Toc100031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2" w:history="1">
        <w:r>
          <w:rPr>
            <w:rStyle w:val="Hyperlink"/>
          </w:rPr>
          <w:t>10.1 创新点设计</w:t>
        </w:r>
        <w:r>
          <w:tab/>
        </w:r>
        <w:r>
          <w:fldChar w:fldCharType="begin"/>
        </w:r>
        <w:r>
          <w:instrText xml:space="preserve"> PAGEREF _Toc100032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3" w:history="1">
        <w:r>
          <w:rPr>
            <w:rStyle w:val="Hyperlink"/>
          </w:rPr>
          <w:t>10.2 答辩准备要点</w:t>
        </w:r>
        <w:r>
          <w:tab/>
        </w:r>
        <w:r>
          <w:fldChar w:fldCharType="begin"/>
        </w:r>
        <w:r>
          <w:instrText xml:space="preserve"> PAGEREF _Toc100033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4" w:history="1">
        <w:r>
          <w:rPr>
            <w:rStyle w:val="Hyperlink"/>
          </w:rPr>
          <w:t>11 参考资源清单</w:t>
        </w:r>
        <w:r>
          <w:tab/>
        </w:r>
        <w:r>
          <w:fldChar w:fldCharType="begin"/>
        </w:r>
        <w:r>
          <w:instrText xml:space="preserve"> PAGEREF _Toc100034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5" w:history="1">
        <w:r>
          <w:rPr>
            <w:rStyle w:val="Hyperlink"/>
          </w:rPr>
          <w:t>11.1 使用说明</w:t>
        </w:r>
        <w:r>
          <w:tab/>
        </w:r>
        <w:r>
          <w:fldChar w:fldCharType="begin"/>
        </w:r>
        <w:r>
          <w:instrText xml:space="preserve"> PAGEREF _Toc100035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6" w:history="1">
        <w:r>
          <w:rPr>
            <w:rStyle w:val="Hyperlink"/>
          </w:rPr>
          <w:t>11.2 官方与社区文档</w:t>
        </w:r>
        <w:r>
          <w:tab/>
        </w:r>
        <w:r>
          <w:fldChar w:fldCharType="begin"/>
        </w:r>
        <w:r>
          <w:instrText xml:space="preserve"> PAGEREF _Toc100036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7" w:history="1">
        <w:r>
          <w:rPr>
            <w:rStyle w:val="Hyperlink"/>
          </w:rPr>
          <w:t>11.3 CSDN 实战与避坑文章</w:t>
        </w:r>
        <w:r>
          <w:tab/>
        </w:r>
        <w:r>
          <w:fldChar w:fldCharType="begin"/>
        </w:r>
        <w:r>
          <w:instrText xml:space="preserve"> PAGEREF _Toc100037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8" w:history="1">
        <w:r>
          <w:rPr>
            <w:rStyle w:val="Hyperlink"/>
          </w:rPr>
          <w:t>11.4 开源项目参考</w:t>
        </w:r>
        <w:r>
          <w:tab/>
        </w:r>
        <w:r>
          <w:fldChar w:fldCharType="begin"/>
        </w:r>
        <w:r>
          <w:instrText xml:space="preserve"> PAGEREF _Toc100038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9" w:history="1">
        <w:r>
          <w:rPr>
            <w:rStyle w:val="Hyperlink"/>
          </w:rPr>
          <w:t>11.5 视频课程与选题、答辩参考</w:t>
        </w:r>
        <w:r>
          <w:tab/>
        </w:r>
        <w:r>
          <w:fldChar w:fldCharType="begin"/>
        </w:r>
        <w:r>
          <w:instrText xml:space="preserve"> PAGEREF _Toc100039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spacing w:line="312" w:lineRule="auto"/>
      </w:pPr>
      <w:r>
        <w:fldChar w:fldCharType="end"/>
      </w:r>
    </w:p>
    <w:p>
      <w:pPr>
        <w:keepNext w:val="0"/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注：本目录由域代码自动生成。编辑文档后请在目录上单击鼠标右键，选择“更新域→更新整个目录”，以确保页码准确。</w:t>
      </w:r>
    </w:p>
    <w:p>
      <w:pPr>
        <w:sectPr>
          <w:footerReference w:type="default" r:id="rId9"/>
          <w:pgSz w:w="11906" w:h="16838"/>
          <w:pgMar w:top="1440" w:right="1417" w:bottom="1440" w:left="1701" w:header="720" w:footer="720" w:gutter="0"/>
          <w:pgNumType w:fmt="upperRoman" w:start="1"/>
          <w:cols w:space="720"/>
          <w:docGrid w:linePitch="360"/>
        </w:sectPr>
      </w:pPr>
    </w:p>
    <w:p>
      <w:pPr>
        <w:pStyle w:val="Heading1"/>
      </w:pPr>
      <w:bookmarkStart w:id="100001" w:name="_Toc100001"/>
      <w:r>
        <w:t>1 方案背景与总体目标</w:t>
      </w:r>
      <w:bookmarkEnd w:id="100001"/>
    </w:p>
    <w:p>
      <w:pPr>
        <w:pStyle w:val="Heading2"/>
      </w:pPr>
      <w:bookmarkStart w:id="100002" w:name="_Toc100002"/>
      <w:r>
        <w:t>1.1 背景与现状分析</w:t>
      </w:r>
      <w:bookmarkEnd w:id="100002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毕业设计要求在有限周期内独立完成 STM32F103C8T6 测控系统的全部环节，涵盖 C 语言固件开发、LabVIEW 上位机设计、PCB 设计、通信协议制定与系统测试。该工作量覆盖了传统上需要一个小型团队分工完成的多种工种，若全部依靠个人逐行手写代码、逐项查阅资料，进度与质量都难以同时保证。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与此同时，以大语言模型为代表的 AI 工具已经能够较好地完成代码生成、方案设计、故障分析与文档撰写等工作，且不同规格的模型在成本与能力上差异明显：轻量模型响应快、调用成本低，适合大量试错与快速迭代；高规格模型推理能力强，适合疑难问题的深度分析。如果不对模型加以组织、混用各类模型，又容易出现产出风格不一、质量不可控、带缺陷的代码直接进入实物环节等问题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本方案的基本思路是：不追求亲自编写全部代码，而是把个人定位为系统架构师与项目经理，让不同模型按工种分工协作，并以“规格先行、实物验证”的工程闭环约束 AI 的产出质量，使其真正服务于毕业设计目标。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从评价体系看，各高校公开的毕业设计管理办法普遍采用“指导教师+评阅教师+答辩”三部分加权评分（常见 3:3:4)，创新性是评定优秀的关键条件；公开的选题经验同时指出，单纯“传感器采集+显示”类课题同质化严重，难以体现工作量与创新能力。因此，本方案在保证功能实现之外，第十章专门设计了创新点与答辩准备，第十一章给出经检索整理的参考资源清单，使工作量与创新性都有据可依。</w:t>
      </w:r>
    </w:p>
    <w:p>
      <w:pPr>
        <w:pStyle w:val="Heading2"/>
      </w:pPr>
      <w:bookmarkStart w:id="100003" w:name="_Toc100003"/>
      <w:r>
        <w:t>1.2 总体目标</w:t>
      </w:r>
      <w:bookmarkEnd w:id="100003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目标一：完成毕业设计实物系统。包括基于 STM32F103C8T6 的测控板，实现电压与电流的 ADC 采集、舵机与直流电机的 PWM 控制、UART 通信与超声波测距；配套 LabVIEW 上位机实现监控与数据采集；系统整体联调通过并稳定运行。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目标二：建立并跑通 AI 辅助工程闭环。形成“需求规格→快速实现→实物测试→深度诊断→代码审查→回归测试→交付”的标准流程，并将该流程沉淀为个人可复用的工程方法。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目标三：形成完整的工程资产。按统一的目录结构管理需求规格、系统架构、硬件设计、固件工程、上位机、测试记录与交付文档，达到可直接用于毕业答辩与求职展示的完整度。</w:t>
      </w:r>
    </w:p>
    <w:p>
      <w:pPr>
        <w:pStyle w:val="Heading2"/>
      </w:pPr>
      <w:bookmarkStart w:id="100004" w:name="_Toc100004"/>
      <w:r>
        <w:t>1.3 角色定位与职责边界</w:t>
      </w:r>
      <w:bookmarkEnd w:id="100004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在本方案中，个人角色为项目经理兼硬件工程师。以下职责不可外包给 AI：最终需求定义与取舍；系统架构与技术路线决策；元器件选型与 PCB 确认；实物接线与供电设计的确认；示波器与万用表实测；故障现象的初步定位与复现；需求是否完成的最终判断与验收。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尤其对于电源、电机、传感器等涉及实物安全的部分，AI 给出的“应该可以工作”与示波器上真实测到波形是两回事。本方案约定：一切技术结论以实测为准，AI 的任何判断仅作为待验证的建议。</w:t>
      </w:r>
    </w:p>
    <w:p>
      <w:pPr>
        <w:pStyle w:val="Heading1"/>
      </w:pPr>
      <w:bookmarkStart w:id="100005" w:name="_Toc100005"/>
      <w:r>
        <w:t>2 AI 工程团队的分工与职责边界</w:t>
      </w:r>
      <w:bookmarkEnd w:id="100005"/>
    </w:p>
    <w:p>
      <w:pPr>
        <w:pStyle w:val="Heading2"/>
      </w:pPr>
      <w:bookmarkStart w:id="100006" w:name="_Toc100006"/>
      <w:r>
        <w:t>2.1 分工总则</w:t>
      </w:r>
      <w:bookmarkEnd w:id="100006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AI 团队按工种而非模型品牌划分。每个工种选择该类任务性价比最高的模型；所有模型的产出一律视为“建议”，须经本人确认或实测通过后方可进入下一环节。各角色的职责与使用要点如表 1 所示。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 AI 工程团队角色分工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69"/>
        <w:gridCol w:w="2021"/>
        <w:gridCol w:w="2636"/>
        <w:gridCol w:w="2460"/>
      </w:tblGrid>
      <w:tr>
        <w:trPr>
          <w:cantSplit/>
          <w:tblHeader/>
        </w:trPr>
        <w:tc>
          <w:tcPr>
            <w:tcW w:type="dxa" w:w="2197"/>
            <w:tcW w:w="95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2197"/>
            <w:tcW w:w="115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承担者</w:t>
            </w:r>
          </w:p>
        </w:tc>
        <w:tc>
          <w:tcPr>
            <w:tcW w:type="dxa" w:w="2197"/>
            <w:tcW w:w="15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核心职责</w:t>
            </w:r>
          </w:p>
        </w:tc>
        <w:tc>
          <w:tcPr>
            <w:tcW w:type="dxa" w:w="2197"/>
            <w:tcW w:w="14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使用要点</w:t>
            </w:r>
          </w:p>
        </w:tc>
      </w:tr>
      <w:tr>
        <w:trPr>
          <w:cantSplit/>
        </w:trPr>
        <w:tc>
          <w:tcPr>
            <w:tcW w:type="dxa" w:w="2197"/>
            <w:tcW w:w="9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项目经理 /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硬件工程师</w:t>
            </w:r>
          </w:p>
        </w:tc>
        <w:tc>
          <w:tcPr>
            <w:tcW w:type="dxa" w:w="2197"/>
            <w:tcW w:w="11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本人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需求定义、系统架构决策、硬件选型与接线、实物测试、进度控制、最终验收</w:t>
            </w:r>
          </w:p>
        </w:tc>
        <w:tc>
          <w:tcPr>
            <w:tcW w:type="dxa" w:w="2197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唯一不可外包的角色；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对进度与质量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负最终责任</w:t>
            </w:r>
          </w:p>
        </w:tc>
      </w:tr>
      <w:tr>
        <w:trPr>
          <w:cantSplit/>
        </w:trPr>
        <w:tc>
          <w:tcPr>
            <w:tcW w:type="dxa" w:w="2197"/>
            <w:tcW w:w="9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系统架构师 /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技术顾问</w:t>
            </w:r>
          </w:p>
        </w:tc>
        <w:tc>
          <w:tcPr>
            <w:tcW w:type="dxa" w:w="2197"/>
            <w:tcW w:w="11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ChatGPT 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对话强模型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总体架构、技术路线、模块接口、通信协议、测试方案与文档框架设计</w:t>
            </w:r>
          </w:p>
        </w:tc>
        <w:tc>
          <w:tcPr>
            <w:tcW w:type="dxa" w:w="2197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在动手编码前先解决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“怎么做”；输出方案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文档而非代码</w:t>
            </w:r>
          </w:p>
        </w:tc>
      </w:tr>
      <w:tr>
        <w:trPr>
          <w:cantSplit/>
        </w:trPr>
        <w:tc>
          <w:tcPr>
            <w:tcW w:type="dxa" w:w="2197"/>
            <w:tcW w:w="9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快速原型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工程师</w:t>
            </w:r>
          </w:p>
        </w:tc>
        <w:tc>
          <w:tcPr>
            <w:tcW w:type="dxa" w:w="2197"/>
            <w:tcW w:w="11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DeepSeek /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GLM 等轻量模型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各功能模块 demo 代码的快速生成与迭代（如 uart.c、adc.c、servo.c)</w:t>
            </w:r>
          </w:p>
        </w:tc>
        <w:tc>
          <w:tcPr>
            <w:tcW w:type="dxa" w:w="2197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允许大量试错；先求能跑再谈质量；单次任务只做一个模块</w:t>
            </w:r>
          </w:p>
        </w:tc>
      </w:tr>
      <w:tr>
        <w:trPr>
          <w:cantSplit/>
        </w:trPr>
        <w:tc>
          <w:tcPr>
            <w:tcW w:type="dxa" w:w="2197"/>
            <w:tcW w:w="9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疑难问题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诊断专家</w:t>
            </w:r>
          </w:p>
        </w:tc>
        <w:tc>
          <w:tcPr>
            <w:tcW w:type="dxa" w:w="2197"/>
            <w:tcW w:w="11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高规格模型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(DeepSeek Pro、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GLM 高规格等）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数据漂移、舵机抖动、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丢包、乱码等疑难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故障的根因分析</w:t>
            </w:r>
          </w:p>
        </w:tc>
        <w:tc>
          <w:tcPr>
            <w:tcW w:type="dxa" w:w="2197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提交完整证据包：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代码+原理图+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串口日志+波形截图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+现象描述</w:t>
            </w:r>
          </w:p>
        </w:tc>
      </w:tr>
      <w:tr>
        <w:trPr>
          <w:cantSplit/>
        </w:trPr>
        <w:tc>
          <w:tcPr>
            <w:tcW w:type="dxa" w:w="2197"/>
            <w:tcW w:w="95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代码审查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与工程化</w:t>
            </w:r>
          </w:p>
        </w:tc>
        <w:tc>
          <w:tcPr>
            <w:tcW w:type="dxa" w:w="2197"/>
            <w:tcW w:w="115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Codex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代码审查、重构、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测试补充、工程结构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规范化、最终交付检查</w:t>
            </w:r>
          </w:p>
        </w:tc>
        <w:tc>
          <w:tcPr>
            <w:tcW w:type="dxa" w:w="2197"/>
            <w:tcW w:w="14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在原型可运行后介入；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交付前与最终交付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各执行一次</w:t>
            </w:r>
          </w:p>
        </w:tc>
      </w:tr>
    </w:tbl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需要强调的是，诊断专家与架构师两类角色引入高成本模型，目的是把昂贵模型的推理能力用在刀刃上；而日常代码生成与修改交给轻量模型，利用其低成本优势换取足够多的迭代次数。</w:t>
      </w:r>
    </w:p>
    <w:p>
      <w:pPr>
        <w:pStyle w:val="Heading2"/>
      </w:pPr>
      <w:bookmarkStart w:id="100007" w:name="_Toc100007"/>
      <w:r>
        <w:t>2.2 模型调用策略</w:t>
      </w:r>
      <w:bookmarkEnd w:id="100007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按成本与能力匹配任务：轻量模型承担约八成的常规编码与迭代任务，可反复生成与修改而不必顾虑成本；高规格模型仅用于疑难诊断与关键方案评审；Codex 承担审查与工程化。每次调用都应提供完整上下文，包括需求说明、相关代码、实测现象、串口日志与波形截图，避免模型凭空猜测。对同一疑难问题，可交叉询问两个不同模型并比对结论，以降低单一模型误判的风险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这一分工与业界当前的主流实践方向一致：公开的 LLM 编码工作流综述（如 Addy Osmani 在 2026 年初发表的工作流总结）普遍主张“先与 AI 共同打磨详细规格、再形成分步计划、最后进入实现”的规格先行模式；嵌入式领域的头部企业也在推行“一切皆代码（Everything as Code)”，使 AI 能够参与开发全流程。相应地，Codex、Claude Code 等代理型编码工具在本方案中的定位是编码与审查的加速器，而不是技术决策者。</w:t>
      </w:r>
    </w:p>
    <w:p>
      <w:pPr>
        <w:pStyle w:val="Heading1"/>
      </w:pPr>
      <w:bookmarkStart w:id="100008" w:name="_Toc100008"/>
      <w:r>
        <w:t>3 工程闭环工作流程</w:t>
      </w:r>
      <w:bookmarkEnd w:id="100008"/>
    </w:p>
    <w:p>
      <w:pPr>
        <w:pStyle w:val="Heading2"/>
      </w:pPr>
      <w:bookmarkStart w:id="100009" w:name="_Toc100009"/>
      <w:r>
        <w:t>3.1 流程总览</w:t>
      </w:r>
      <w:bookmarkEnd w:id="100009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标准流程共七个环节，构成闭环：第一，需求规格，由本人撰写模块级需求（输入、输出、精度、时序），必要时请架构师模型评审；第二，快速实现，轻量模型依据规格生成 demo 代码；第三，实物测试，烧录后用仪器验证功能；第四，深度诊断，未通过时由高规格模型基于证据包分析根因；第五，代码审查，Codex 对通过测试的代码进行审查与重构；第六，回归测试，重构后重新实物验证；第七，交付，Codex 执行最终工程化检查并归档。整个流程中，本人始终处于决策与验收位置，模型在环节内部承担具体工作。该闭环与业界规格先行的 LLM 工作流共识一致，并以实物测试作为 AI 产出的最终裁判。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各环节的执行者、输入输出与通过标准如表 2 所示。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2 工程闭环各环节定义与通过标准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142"/>
        <w:gridCol w:w="1318"/>
        <w:gridCol w:w="1757"/>
        <w:gridCol w:w="2109"/>
        <w:gridCol w:w="2460"/>
      </w:tblGrid>
      <w:tr>
        <w:trPr>
          <w:cantSplit/>
          <w:tblHeader/>
        </w:trPr>
        <w:tc>
          <w:tcPr>
            <w:tcW w:type="dxa" w:w="1758"/>
            <w:tcW w:w="65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1758"/>
            <w:tcW w:w="75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执行者</w:t>
            </w:r>
          </w:p>
        </w:tc>
        <w:tc>
          <w:tcPr>
            <w:tcW w:type="dxa" w:w="1758"/>
            <w:tcW w:w="10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输入</w:t>
            </w:r>
          </w:p>
        </w:tc>
        <w:tc>
          <w:tcPr>
            <w:tcW w:type="dxa" w:w="1758"/>
            <w:tcW w:w="12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输出</w:t>
            </w:r>
          </w:p>
        </w:tc>
        <w:tc>
          <w:tcPr>
            <w:tcW w:type="dxa" w:w="1758"/>
            <w:tcW w:w="14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1758"/>
            <w:tcW w:w="65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① 需求规格</w:t>
            </w:r>
          </w:p>
        </w:tc>
        <w:tc>
          <w:tcPr>
            <w:tcW w:type="dxa" w:w="1758"/>
            <w:tcW w:w="7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本人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（架构师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模型辅助）</w:t>
            </w:r>
          </w:p>
        </w:tc>
        <w:tc>
          <w:tcPr>
            <w:tcW w:type="dxa" w:w="1758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系统需求</w:t>
            </w:r>
          </w:p>
        </w:tc>
        <w:tc>
          <w:tcPr>
            <w:tcW w:type="dxa" w:w="1758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模块需求规格书</w:t>
            </w:r>
          </w:p>
        </w:tc>
        <w:tc>
          <w:tcPr>
            <w:tcW w:type="dxa" w:w="1758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接口、参数、验收方法齐备</w:t>
            </w:r>
          </w:p>
        </w:tc>
      </w:tr>
      <w:tr>
        <w:trPr>
          <w:cantSplit/>
        </w:trPr>
        <w:tc>
          <w:tcPr>
            <w:tcW w:type="dxa" w:w="1758"/>
            <w:tcW w:w="65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② 快速实现</w:t>
            </w:r>
          </w:p>
        </w:tc>
        <w:tc>
          <w:tcPr>
            <w:tcW w:type="dxa" w:w="1758"/>
            <w:tcW w:w="7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轻量模型</w:t>
            </w:r>
          </w:p>
        </w:tc>
        <w:tc>
          <w:tcPr>
            <w:tcW w:type="dxa" w:w="1758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需求规格书</w:t>
            </w:r>
          </w:p>
        </w:tc>
        <w:tc>
          <w:tcPr>
            <w:tcW w:type="dxa" w:w="1758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模块 demo 代码</w:t>
            </w:r>
          </w:p>
        </w:tc>
        <w:tc>
          <w:tcPr>
            <w:tcW w:type="dxa" w:w="1758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编译通过，逻辑与规格一致</w:t>
            </w:r>
          </w:p>
        </w:tc>
      </w:tr>
      <w:tr>
        <w:trPr>
          <w:cantSplit/>
        </w:trPr>
        <w:tc>
          <w:tcPr>
            <w:tcW w:type="dxa" w:w="1758"/>
            <w:tcW w:w="65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③ 实物测试</w:t>
            </w:r>
          </w:p>
        </w:tc>
        <w:tc>
          <w:tcPr>
            <w:tcW w:type="dxa" w:w="1758"/>
            <w:tcW w:w="7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本人</w:t>
            </w:r>
          </w:p>
        </w:tc>
        <w:tc>
          <w:tcPr>
            <w:tcW w:type="dxa" w:w="1758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demo 代码+硬件</w:t>
            </w:r>
          </w:p>
        </w:tc>
        <w:tc>
          <w:tcPr>
            <w:tcW w:type="dxa" w:w="1758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测试记录</w:t>
            </w:r>
          </w:p>
        </w:tc>
        <w:tc>
          <w:tcPr>
            <w:tcW w:type="dxa" w:w="1758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功能达标且现象可复现</w:t>
            </w:r>
          </w:p>
        </w:tc>
      </w:tr>
      <w:tr>
        <w:trPr>
          <w:cantSplit/>
        </w:trPr>
        <w:tc>
          <w:tcPr>
            <w:tcW w:type="dxa" w:w="1758"/>
            <w:tcW w:w="65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④ 深度诊断</w:t>
            </w:r>
          </w:p>
        </w:tc>
        <w:tc>
          <w:tcPr>
            <w:tcW w:type="dxa" w:w="1758"/>
            <w:tcW w:w="7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高规格模型</w:t>
            </w:r>
          </w:p>
        </w:tc>
        <w:tc>
          <w:tcPr>
            <w:tcW w:type="dxa" w:w="1758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证据包</w:t>
            </w:r>
          </w:p>
        </w:tc>
        <w:tc>
          <w:tcPr>
            <w:tcW w:type="dxa" w:w="1758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根因分析与修改建议</w:t>
            </w:r>
          </w:p>
        </w:tc>
        <w:tc>
          <w:tcPr>
            <w:tcW w:type="dxa" w:w="1758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建议经实测确认有效</w:t>
            </w:r>
          </w:p>
        </w:tc>
      </w:tr>
      <w:tr>
        <w:trPr>
          <w:cantSplit/>
        </w:trPr>
        <w:tc>
          <w:tcPr>
            <w:tcW w:type="dxa" w:w="1758"/>
            <w:tcW w:w="65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⑤ 代码审查</w:t>
            </w:r>
          </w:p>
        </w:tc>
        <w:tc>
          <w:tcPr>
            <w:tcW w:type="dxa" w:w="1758"/>
            <w:tcW w:w="7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Codex</w:t>
            </w:r>
          </w:p>
        </w:tc>
        <w:tc>
          <w:tcPr>
            <w:tcW w:type="dxa" w:w="1758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通过测试的代码</w:t>
            </w:r>
          </w:p>
        </w:tc>
        <w:tc>
          <w:tcPr>
            <w:tcW w:type="dxa" w:w="1758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审查意见+重构代码</w:t>
            </w:r>
          </w:p>
        </w:tc>
        <w:tc>
          <w:tcPr>
            <w:tcW w:type="dxa" w:w="1758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无缓冲区、超时、中断冲突等明显隐患</w:t>
            </w:r>
          </w:p>
        </w:tc>
      </w:tr>
      <w:tr>
        <w:trPr>
          <w:cantSplit/>
        </w:trPr>
        <w:tc>
          <w:tcPr>
            <w:tcW w:type="dxa" w:w="1758"/>
            <w:tcW w:w="65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⑥ 回归测试</w:t>
            </w:r>
          </w:p>
        </w:tc>
        <w:tc>
          <w:tcPr>
            <w:tcW w:type="dxa" w:w="1758"/>
            <w:tcW w:w="75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本人</w:t>
            </w:r>
          </w:p>
        </w:tc>
        <w:tc>
          <w:tcPr>
            <w:tcW w:type="dxa" w:w="1758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重构后代码</w:t>
            </w:r>
          </w:p>
        </w:tc>
        <w:tc>
          <w:tcPr>
            <w:tcW w:type="dxa" w:w="1758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回归测试记录</w:t>
            </w:r>
          </w:p>
        </w:tc>
        <w:tc>
          <w:tcPr>
            <w:tcW w:type="dxa" w:w="1758"/>
            <w:tcW w:w="1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原有功能全部保持</w:t>
            </w:r>
          </w:p>
        </w:tc>
      </w:tr>
      <w:tr>
        <w:trPr>
          <w:cantSplit/>
        </w:trPr>
        <w:tc>
          <w:tcPr>
            <w:tcW w:type="dxa" w:w="1758"/>
            <w:tcW w:w="65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⑦ 交付</w:t>
            </w:r>
          </w:p>
        </w:tc>
        <w:tc>
          <w:tcPr>
            <w:tcW w:type="dxa" w:w="1758"/>
            <w:tcW w:w="75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Codex+本人</w:t>
            </w:r>
          </w:p>
        </w:tc>
        <w:tc>
          <w:tcPr>
            <w:tcW w:type="dxa" w:w="1758"/>
            <w:tcW w:w="1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全部工程文件</w:t>
            </w:r>
          </w:p>
        </w:tc>
        <w:tc>
          <w:tcPr>
            <w:tcW w:type="dxa" w:w="1758"/>
            <w:tcW w:w="12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交付工程包</w:t>
            </w:r>
          </w:p>
        </w:tc>
        <w:tc>
          <w:tcPr>
            <w:tcW w:type="dxa" w:w="1758"/>
            <w:tcW w:w="14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目录、文档、版本齐备</w:t>
            </w:r>
          </w:p>
        </w:tc>
      </w:tr>
    </w:tbl>
    <w:p>
      <w:pPr>
        <w:pStyle w:val="Heading2"/>
      </w:pPr>
      <w:bookmarkStart w:id="100010" w:name="_Toc100010"/>
      <w:r>
        <w:t>3.2 流程红线</w:t>
      </w:r>
      <w:bookmarkEnd w:id="100010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红线一：禁止“AI 写代码→烧录→能跑即完事”。若长期停留在该模式，个人将退化为“AI 操作员”而不是硬件工程师，答辩与面试时无法解释系统的工作原理，项目也不具备可信度。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红线二：AI 结论必须实测验证。无论模型给出多么确定的判断，进入硬件环节前都必须经过万用表、示波器或串口日志的实测确认。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红线三：每个“为什么”必须能回答。本方案第五章列出了必须亲自掌握的核心问题清单，对其中任一问题若不能解释原理并通过实验验证，对应模块不得进入交付状态。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红线四：实物安全优先。任何新硬件组合在首次上电前，必须完成电源极性、共地关系与限流措施检查；电机、舵机等大电流负载必须独立供电。</w:t>
      </w:r>
    </w:p>
    <w:p>
      <w:pPr>
        <w:pStyle w:val="Heading1"/>
      </w:pPr>
      <w:bookmarkStart w:id="100011" w:name="_Toc100011"/>
      <w:r>
        <w:t>4 分阶段学习与实施计划（16 周）</w:t>
      </w:r>
      <w:bookmarkEnd w:id="100011"/>
    </w:p>
    <w:p>
      <w:pPr>
        <w:pStyle w:val="Heading2"/>
      </w:pPr>
      <w:bookmarkStart w:id="100012" w:name="_Toc100012"/>
      <w:r>
        <w:t>4.1 阶段总览</w:t>
      </w:r>
      <w:bookmarkEnd w:id="100012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计划自 2026 年 9 月 14 日（第 1 周周一）起，共 16 周，分四个阶段推进。每个阶段设置明确的关键成果，作为周检查与里程碑验收的依据，详见表 3。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3 十六周阶段总览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054"/>
        <w:gridCol w:w="2284"/>
        <w:gridCol w:w="2109"/>
        <w:gridCol w:w="3339"/>
      </w:tblGrid>
      <w:tr>
        <w:trPr>
          <w:cantSplit/>
          <w:tblHeader/>
        </w:trPr>
        <w:tc>
          <w:tcPr>
            <w:tcW w:type="dxa" w:w="2197"/>
            <w:tcW w:w="6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2197"/>
            <w:tcW w:w="13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周期</w:t>
            </w:r>
          </w:p>
        </w:tc>
        <w:tc>
          <w:tcPr>
            <w:tcW w:type="dxa" w:w="2197"/>
            <w:tcW w:w="12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主题</w:t>
            </w:r>
          </w:p>
        </w:tc>
        <w:tc>
          <w:tcPr>
            <w:tcW w:type="dxa" w:w="2197"/>
            <w:tcW w:w="19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关键成果</w:t>
            </w:r>
          </w:p>
        </w:tc>
      </w:tr>
      <w:tr>
        <w:trPr>
          <w:cantSplit/>
        </w:trPr>
        <w:tc>
          <w:tcPr>
            <w:tcW w:type="dxa" w:w="2197"/>
            <w:tcW w:w="6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阶段一</w:t>
            </w:r>
          </w:p>
        </w:tc>
        <w:tc>
          <w:tcPr>
            <w:tcW w:type="dxa" w:w="2197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第 1–3 周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9 月 14 日–10 月 4 日</w:t>
            </w:r>
          </w:p>
        </w:tc>
        <w:tc>
          <w:tcPr>
            <w:tcW w:type="dxa" w:w="2197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嵌入式基础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与工具链</w:t>
            </w:r>
          </w:p>
        </w:tc>
        <w:tc>
          <w:tcPr>
            <w:tcW w:type="dxa" w:w="2197"/>
            <w:tcW w:w="1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开发环境跑通；GPIO、定时器、中断、串口四个基础实验实物通过</w:t>
            </w:r>
          </w:p>
        </w:tc>
      </w:tr>
      <w:tr>
        <w:trPr>
          <w:cantSplit/>
        </w:trPr>
        <w:tc>
          <w:tcPr>
            <w:tcW w:type="dxa" w:w="2197"/>
            <w:tcW w:w="6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阶段二</w:t>
            </w:r>
          </w:p>
        </w:tc>
        <w:tc>
          <w:tcPr>
            <w:tcW w:type="dxa" w:w="2197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第 4–8 周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10 月 5 日–11 月 8 日</w:t>
            </w:r>
          </w:p>
        </w:tc>
        <w:tc>
          <w:tcPr>
            <w:tcW w:type="dxa" w:w="2197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功能模块开发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与实物验证</w:t>
            </w:r>
          </w:p>
        </w:tc>
        <w:tc>
          <w:tcPr>
            <w:tcW w:type="dxa" w:w="2197"/>
            <w:tcW w:w="1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ADC、PWM、UART、超声波、LabVIEW 五个模块逐一通过实测</w:t>
            </w:r>
          </w:p>
        </w:tc>
      </w:tr>
      <w:tr>
        <w:trPr>
          <w:cantSplit/>
        </w:trPr>
        <w:tc>
          <w:tcPr>
            <w:tcW w:type="dxa" w:w="2197"/>
            <w:tcW w:w="6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阶段三</w:t>
            </w:r>
          </w:p>
        </w:tc>
        <w:tc>
          <w:tcPr>
            <w:tcW w:type="dxa" w:w="2197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第 9–12 周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11 月 9 日–12 月 6 日</w:t>
            </w:r>
          </w:p>
        </w:tc>
        <w:tc>
          <w:tcPr>
            <w:tcW w:type="dxa" w:w="2197"/>
            <w:tcW w:w="1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系统集成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与 PCB</w:t>
            </w:r>
          </w:p>
        </w:tc>
        <w:tc>
          <w:tcPr>
            <w:tcW w:type="dxa" w:w="2197"/>
            <w:tcW w:w="1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通信协议定稿；系统联调通过；PCB 完成打样并验证</w:t>
            </w:r>
          </w:p>
        </w:tc>
      </w:tr>
      <w:tr>
        <w:trPr>
          <w:cantSplit/>
        </w:trPr>
        <w:tc>
          <w:tcPr>
            <w:tcW w:type="dxa" w:w="2197"/>
            <w:tcW w:w="6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阶段四</w:t>
            </w:r>
          </w:p>
        </w:tc>
        <w:tc>
          <w:tcPr>
            <w:tcW w:type="dxa" w:w="2197"/>
            <w:tcW w:w="13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第 13–16 周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12 月 7 日–2027 年 1 月 3 日</w:t>
            </w:r>
          </w:p>
        </w:tc>
        <w:tc>
          <w:tcPr>
            <w:tcW w:type="dxa" w:w="2197"/>
            <w:tcW w:w="12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工程化交付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与毕设材料</w:t>
            </w:r>
          </w:p>
        </w:tc>
        <w:tc>
          <w:tcPr>
            <w:tcW w:type="dxa" w:w="2197"/>
            <w:tcW w:w="19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交付工程包、测试报告与毕业论文初稿</w:t>
            </w:r>
          </w:p>
        </w:tc>
      </w:tr>
    </w:tbl>
    <w:p>
      <w:pPr>
        <w:pStyle w:val="Heading2"/>
      </w:pPr>
      <w:bookmarkStart w:id="100013" w:name="_Toc100013"/>
      <w:r>
        <w:t>4.2 阶段一：嵌入式基础与工具链（第 1–3 周）</w:t>
      </w:r>
      <w:bookmarkEnd w:id="100013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本阶段的目标是建立最小系统开发能力，为后续模块开发打底。学习以“概念理解+实验验证”的方式进行，所有示例代码都要求能够脱稿复述其原理。实施要点见表 4。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4 阶段一实施要点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81"/>
        <w:gridCol w:w="7206"/>
      </w:tblGrid>
      <w:tr>
        <w:trPr>
          <w:cantSplit/>
          <w:tblHeader/>
        </w:trPr>
        <w:tc>
          <w:tcPr>
            <w:tcW w:type="dxa" w:w="4394"/>
            <w:tcW w:w="9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tcW w:w="41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学习目标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掌握 STM32 最小系统开发能力，理解时钟、GPIO、定时器与中断的基本机制；以 STM32CubeMX + HAL 库为主线搭建工程（标准库仅作对照阅读），熟悉 Keil 编译烧录与调试方法。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学习内容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C 语言指针、结构体与位操作回顾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STM32F103C8T6 最小系统与时钟树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（参考第十一章设计文章与视频）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GPIO 输入输出与按键消抖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定时器与 PWM 基本概念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中断与 NVIC 基础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UART 串口通信基础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STM32CubeMX + HAL 库工程建立流程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AI 协作方式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向架构师模型索取学习路线与关键概念讲解；用轻量模型生成 GPIO 点灯、定时器中断等示例代码；每个示例必须能向模型复述工作原理并请其纠错；教程以第十一章清单中的系列课程与文章为主线。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实践任务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搭建最小系统板；完成 LED 点灯、按键输入、定时器中断、串口收发四个基础实验。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基础实验代码仓库、学习笔记、开发环境说明。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验收标准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四个基础实验全部实物通过；能不借助资料画出最小系统框图并解释时钟分配关系。</w:t>
            </w:r>
          </w:p>
        </w:tc>
      </w:tr>
    </w:tbl>
    <w:p>
      <w:pPr>
        <w:pStyle w:val="Heading2"/>
      </w:pPr>
      <w:bookmarkStart w:id="100014" w:name="_Toc100014"/>
      <w:r>
        <w:t>4.3 阶段二：功能模块开发与实物验证（第 4–8 周）</w:t>
      </w:r>
      <w:bookmarkEnd w:id="100014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本阶段进入核心功能开发，每周完成一个模块：电压电流采集、舵机与电机控制、UART 通信、超声波测距、LabVIEW 上位机。每个模块均走完整的工程闭环，实施要点见表 5。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5 阶段二实施要点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81"/>
        <w:gridCol w:w="7206"/>
      </w:tblGrid>
      <w:tr>
        <w:trPr>
          <w:cantSplit/>
          <w:tblHeader/>
        </w:trPr>
        <w:tc>
          <w:tcPr>
            <w:tcW w:type="dxa" w:w="4394"/>
            <w:tcW w:w="9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tcW w:w="41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学习目标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完成 ADC（电压/电流）、PWM（舵机/直流电机）、UART 协议、超声波测距与 LabVIEW 上位机五大模块的原型开发，逐一通过实物验证，并积累实测数据。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学习内容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ADC 采样原理、参考电压与软件滤波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舵机 50Hz 控制原理与电机驱动电路（MOSFET 栅极电阻、独立供电、共地）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电机驱动选型对比（TB6612 与 L298N 的压降与效率差异）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电流检测双方案：采样电阻+运放接 ADC，与 INA219(I2C）方案对比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UART 帧格式、波特率与接收缓冲区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超声波测距时序与超时处理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LabVIEW VISA 串口编程与前面板设计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AI 协作方式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本人编写模块需求规格；轻量模型生成 demo 并快速迭代；示波器与万用表逐项实测；异常现象整理证据包后交高规格模型诊断。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实践任务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五个模块按周推进；每模块留存测试照片、波形截图与串口日志。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各模块可运行代码、模块测试记录、问题诊断记录。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验收标准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每个模块有实测数据（如电压测量误差、舵机角度精度、连续通信丢包率）并达到自定指标；核心问题清单中对应条目可独立回答。</w:t>
            </w:r>
          </w:p>
        </w:tc>
      </w:tr>
    </w:tbl>
    <w:p>
      <w:pPr>
        <w:pStyle w:val="Heading2"/>
      </w:pPr>
      <w:bookmarkStart w:id="100015" w:name="_Toc100015"/>
      <w:r>
        <w:t>4.4 阶段三：系统集成与 PCB（第 9–12 周）</w:t>
      </w:r>
      <w:bookmarkEnd w:id="100015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本阶段把各模块集成为完整系统：制定并冻结上下位机通信协议，开展系统联调，同时完成 PCB 设计与打样，为最终交付形态做准备。实施要点见表 6。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6 阶段三实施要点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81"/>
        <w:gridCol w:w="7206"/>
      </w:tblGrid>
      <w:tr>
        <w:trPr>
          <w:cantSplit/>
          <w:tblHeader/>
        </w:trPr>
        <w:tc>
          <w:tcPr>
            <w:tcW w:type="dxa" w:w="4394"/>
            <w:tcW w:w="9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tcW w:w="41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学习目标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将各模块集成为完整系统；制定并冻结通信协议；完成系统联调与 PCB 设计打样。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学习内容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帧头、长度、校验和的协议设计方法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主循环与中断服务的分工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系统级供电与去耦设计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原理图审查要点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PCB 布局布线基础（电源路径、晶振、模拟数字分区）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AI 协作方式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通信协议由架构师模型参与设计、本人定稿；Codex 对整合后的代码做第一次全面审查与重构；原理图与 PCB 关键网络请架构师模型按检查清单复核，本人最终确认。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实践任务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协议联调（含丢包与校验测试）；整机长时间可靠性预运行；PCB 布局与打样、焊接、上板验证。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通信协议文档、系统联调记录、PCB 工程文件与打样板。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验收标准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上位机与下位机按协议稳定通信；PCB 板焊接后功能与原型版本一致。</w:t>
            </w:r>
          </w:p>
        </w:tc>
      </w:tr>
    </w:tbl>
    <w:p>
      <w:pPr>
        <w:pStyle w:val="Heading2"/>
      </w:pPr>
      <w:bookmarkStart w:id="100016" w:name="_Toc100016"/>
      <w:r>
        <w:t>4.5 阶段四：工程化交付与毕设材料（第 13–16 周）</w:t>
      </w:r>
      <w:bookmarkEnd w:id="100016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本阶段完成代码工程化、测试收尾、文档与论文撰写，把开发成果整理为可交付、可答辩、可求职展示的完整资产。实施要点见表 7。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7 阶段四实施要点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81"/>
        <w:gridCol w:w="7206"/>
      </w:tblGrid>
      <w:tr>
        <w:trPr>
          <w:cantSplit/>
          <w:tblHeader/>
        </w:trPr>
        <w:tc>
          <w:tcPr>
            <w:tcW w:type="dxa" w:w="4394"/>
            <w:tcW w:w="9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tcW w:w="41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学习目标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完成代码工程化、全量回归测试、文档与论文撰写，形成完整可交付资产。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学习内容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代码规范与模块化整理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测试报告撰写方法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论文结构与图表规范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答辩要点提炼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AI 协作方式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Codex 执行最终代码审查、补全注释与 README；强对话模型协助搭建论文框架与文字润色；技术内容与数据全部由本人提供并逐项核对。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实践任务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全量回归测试并整理测试记录；撰写需求规格书、系统架构文档、硬件测试报告、用户手册；完成论文初稿与答辩材料。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按第七章目录结构组织的最终交付工程包、论文初稿、答辩演示材料。</w:t>
            </w:r>
          </w:p>
        </w:tc>
      </w:tr>
      <w:tr>
        <w:trPr>
          <w:cantSplit/>
        </w:trPr>
        <w:tc>
          <w:tcPr>
            <w:tcW w:type="dxa" w:w="4394"/>
            <w:tcW w:w="9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验收标准</w:t>
            </w:r>
          </w:p>
        </w:tc>
        <w:tc>
          <w:tcPr>
            <w:tcW w:type="dxa" w:w="4394"/>
            <w:tcW w:w="41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交付包可在他人电脑上按 README 复现编译与烧录；论文中引用的数据与测试记录一一对应。</w:t>
            </w:r>
          </w:p>
        </w:tc>
      </w:tr>
    </w:tbl>
    <w:p>
      <w:pPr>
        <w:pStyle w:val="Heading1"/>
      </w:pPr>
      <w:bookmarkStart w:id="100017" w:name="_Toc100017"/>
      <w:r>
        <w:t>5 必须亲自掌握的核心知识清单</w:t>
      </w:r>
      <w:bookmarkEnd w:id="100017"/>
    </w:p>
    <w:p>
      <w:pPr>
        <w:pStyle w:val="Heading2"/>
      </w:pPr>
      <w:bookmarkStart w:id="100018" w:name="_Toc100018"/>
      <w:r>
        <w:t>5.1 清单使用说明</w:t>
      </w:r>
      <w:bookmarkEnd w:id="100018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本章清单覆盖系统各关键设计点，是防止“只会用 AI、不懂原理”的底线机制。处理方式为三步：先请 AI 把原理讲透，再脱稿复述并让 AI 挑错，最后设计小实验加以证实。全部 13 项须在阶段四开始前完成；对应模块在所属问题通过验证前，不得标记为完成。</w:t>
      </w:r>
    </w:p>
    <w:p>
      <w:pPr>
        <w:pStyle w:val="Heading2"/>
      </w:pPr>
      <w:bookmarkStart w:id="100019" w:name="_Toc100019"/>
      <w:r>
        <w:t>5.2 核心问题与验证方式</w:t>
      </w:r>
      <w:bookmarkEnd w:id="100019"/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8 必须亲自掌握的核心问题清单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703"/>
        <w:gridCol w:w="3515"/>
        <w:gridCol w:w="1406"/>
        <w:gridCol w:w="3163"/>
      </w:tblGrid>
      <w:tr>
        <w:trPr>
          <w:cantSplit/>
          <w:tblHeader/>
        </w:trPr>
        <w:tc>
          <w:tcPr>
            <w:tcW w:type="dxa" w:w="2197"/>
            <w:tcW w:w="4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2197"/>
            <w:tcW w:w="20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核心问题</w:t>
            </w:r>
          </w:p>
        </w:tc>
        <w:tc>
          <w:tcPr>
            <w:tcW w:type="dxa" w:w="2197"/>
            <w:tcW w:w="8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知识领域</w:t>
            </w:r>
          </w:p>
        </w:tc>
        <w:tc>
          <w:tcPr>
            <w:tcW w:type="dxa" w:w="2197"/>
            <w:tcW w:w="18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验证方式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Q1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为什么本系统需要 ADC？采样值如何换算成真实电压与电流？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模拟量采集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用已知电压源与分压电阻比对换算结果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Q2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为什么舵机控制信号是 50Hz、0.5–2.5ms 脉宽？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PWM 应用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示波器测量 PWM 周期与脉宽，改变占空比观察舵机角度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Q3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 MOSFET 栅极要串联电阻？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功率驱动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对比加与不加电阻时的驱动波形振铃与器件发热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Q4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为什么电机必须独立供电？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电源设计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测量电机启动瞬间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主电源电压跌落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Q5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 STM32 与外部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设备必须共地？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电源设计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断开共地，观察串口乱码与电平异常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Q6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 UART 在 115200 波特率下会出现乱码？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串口通信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示波器实测波特率并与时钟误差比对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Q7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 UART 会丢包？如何从协议层面解决？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串口通信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高速连续发送统计丢包率，加入校验与重传后复测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Q8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 ADC 采样会有噪声？有哪些抑制手段？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信号处理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对比软件均值滤波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前后的数据波动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Q9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为什么电源纹波会影响传感器精度？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电源完整性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观察电机运行与停止时 ADC 读数的变化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Q10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为什么定时器 PWM 分辨率与预分频有关？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定时器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计算并实测不同预分频下的最小脉宽步进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Q11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超声波测距的时序要求是什么？为什么需要超时判断？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传感器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人为遮挡与超量程测试，观察程序行为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Q12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LabVIEW VISA 读数据为什么会阻塞？如何设计缓冲与超时？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上位机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分别测试固定长度读取与带超时读取的表现</w:t>
            </w:r>
          </w:p>
        </w:tc>
      </w:tr>
      <w:tr>
        <w:trPr>
          <w:cantSplit/>
        </w:trPr>
        <w:tc>
          <w:tcPr>
            <w:tcW w:type="dxa" w:w="2197"/>
            <w:tcW w:w="4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Q13</w:t>
            </w:r>
          </w:p>
        </w:tc>
        <w:tc>
          <w:tcPr>
            <w:tcW w:type="dxa" w:w="2197"/>
            <w:tcW w:w="2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为什么低压小电机驱动优先选 TB6612，而不是 L298N?</w:t>
            </w:r>
          </w:p>
        </w:tc>
        <w:tc>
          <w:tcPr>
            <w:tcW w:type="dxa" w:w="2197"/>
            <w:tcW w:w="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功率驱动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相同 PWM 占空比下对比电机端电压与驱动板发热</w:t>
            </w:r>
          </w:p>
        </w:tc>
      </w:tr>
    </w:tbl>
    <w:p>
      <w:pPr>
        <w:pStyle w:val="Heading1"/>
      </w:pPr>
      <w:bookmarkStart w:id="100020" w:name="_Toc100020"/>
      <w:r>
        <w:t>6 测试与实物验证方法</w:t>
      </w:r>
      <w:bookmarkEnd w:id="100020"/>
    </w:p>
    <w:p>
      <w:pPr>
        <w:pStyle w:val="Heading2"/>
      </w:pPr>
      <w:bookmarkStart w:id="100021" w:name="_Toc100021"/>
      <w:r>
        <w:t>6.1 测试原则</w:t>
      </w:r>
      <w:bookmarkEnd w:id="100021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测试遵循“先模块、后系统；先静态、后上电；先开环、后闭环”的顺序。任何模块在通过实物测试前不得宣称完成；所有测试结论以仪器读数与记录为准，不以系统“看起来运行正常”为准。</w:t>
      </w:r>
    </w:p>
    <w:p>
      <w:pPr>
        <w:pStyle w:val="Heading2"/>
      </w:pPr>
      <w:bookmarkStart w:id="100022" w:name="_Toc100022"/>
      <w:r>
        <w:t>6.2 测试工具与典型检查项</w:t>
      </w:r>
      <w:bookmarkEnd w:id="100022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各测试工具的用途与典型检查项如表 9 所示，其中示波器是本方案中区分“AI 认为正常”与“实际正常”的关键工具。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9 测试工具与典型检查项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57"/>
        <w:gridCol w:w="2812"/>
        <w:gridCol w:w="4218"/>
      </w:tblGrid>
      <w:tr>
        <w:trPr>
          <w:cantSplit/>
          <w:tblHeader/>
        </w:trPr>
        <w:tc>
          <w:tcPr>
            <w:tcW w:type="dxa" w:w="2929"/>
            <w:tcW w:w="10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工具</w:t>
            </w:r>
          </w:p>
        </w:tc>
        <w:tc>
          <w:tcPr>
            <w:tcW w:type="dxa" w:w="2929"/>
            <w:tcW w:w="16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主要用途</w:t>
            </w:r>
          </w:p>
        </w:tc>
        <w:tc>
          <w:tcPr>
            <w:tcW w:type="dxa" w:w="2929"/>
            <w:tcW w:w="24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典型检查项</w:t>
            </w:r>
          </w:p>
        </w:tc>
      </w:tr>
      <w:tr>
        <w:trPr>
          <w:cantSplit/>
        </w:trPr>
        <w:tc>
          <w:tcPr>
            <w:tcW w:type="dxa" w:w="2929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万用表</w:t>
            </w:r>
          </w:p>
        </w:tc>
        <w:tc>
          <w:tcPr>
            <w:tcW w:type="dxa" w:w="2929"/>
            <w:tcW w:w="16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电压、电流、通断测量</w:t>
            </w:r>
          </w:p>
        </w:tc>
        <w:tc>
          <w:tcPr>
            <w:tcW w:type="dxa" w:w="2929"/>
            <w:tcW w:w="2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上电前电源短路检查；各节点电平；整机与模块工作电流</w:t>
            </w:r>
          </w:p>
        </w:tc>
      </w:tr>
      <w:tr>
        <w:trPr>
          <w:cantSplit/>
        </w:trPr>
        <w:tc>
          <w:tcPr>
            <w:tcW w:type="dxa" w:w="2929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示波器</w:t>
            </w:r>
          </w:p>
        </w:tc>
        <w:tc>
          <w:tcPr>
            <w:tcW w:type="dxa" w:w="2929"/>
            <w:tcW w:w="16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波形与时序测量</w:t>
            </w:r>
          </w:p>
        </w:tc>
        <w:tc>
          <w:tcPr>
            <w:tcW w:type="dxa" w:w="2929"/>
            <w:tcW w:w="2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PWM 周期与脉宽；驱动波形振铃；UART 波形；电源纹波；ADC 输入端噪声</w:t>
            </w:r>
          </w:p>
        </w:tc>
      </w:tr>
      <w:tr>
        <w:trPr>
          <w:cantSplit/>
        </w:trPr>
        <w:tc>
          <w:tcPr>
            <w:tcW w:type="dxa" w:w="2929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USB 转 TTL+串口助手</w:t>
            </w:r>
          </w:p>
        </w:tc>
        <w:tc>
          <w:tcPr>
            <w:tcW w:type="dxa" w:w="2929"/>
            <w:tcW w:w="16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调试信息输出与协议观测</w:t>
            </w:r>
          </w:p>
        </w:tc>
        <w:tc>
          <w:tcPr>
            <w:tcW w:type="dxa" w:w="2929"/>
            <w:tcW w:w="24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中间变量打印；帧格式核对；连续收发丢包统计</w:t>
            </w:r>
          </w:p>
        </w:tc>
      </w:tr>
      <w:tr>
        <w:trPr>
          <w:cantSplit/>
        </w:trPr>
        <w:tc>
          <w:tcPr>
            <w:tcW w:type="dxa" w:w="2929"/>
            <w:tcW w:w="1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LabVIEW 上位机</w:t>
            </w:r>
          </w:p>
        </w:tc>
        <w:tc>
          <w:tcPr>
            <w:tcW w:type="dxa" w:w="2929"/>
            <w:tcW w:w="16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系统联调与数据记录</w:t>
            </w:r>
          </w:p>
        </w:tc>
        <w:tc>
          <w:tcPr>
            <w:tcW w:type="dxa" w:w="2929"/>
            <w:tcW w:w="24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曲线显示正确性；数据保存完整性；异常值捕捉</w:t>
            </w:r>
          </w:p>
        </w:tc>
      </w:tr>
    </w:tbl>
    <w:p>
      <w:pPr>
        <w:pStyle w:val="Heading2"/>
      </w:pPr>
      <w:bookmarkStart w:id="100023" w:name="_Toc100023"/>
      <w:r>
        <w:t>6.3 测试记录规范</w:t>
      </w:r>
      <w:bookmarkEnd w:id="100023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每条测试记录包含八个字段：测试编号、日期、被测对象、测试条件（供电电压、负载状态）、操作步骤、预期结果、实测结果、结论与后续动作。测试记录集中存放于项目 05_Test 目录，并与 Bug 记录联动：凡实测结果与预期不符，立即登记 Bug 并按第三章流程进入诊断环节。</w:t>
      </w:r>
    </w:p>
    <w:p>
      <w:pPr>
        <w:pStyle w:val="Heading1"/>
      </w:pPr>
      <w:bookmarkStart w:id="100024" w:name="_Toc100024"/>
      <w:r>
        <w:t>7 工程资产与文档管理</w:t>
      </w:r>
      <w:bookmarkEnd w:id="100024"/>
    </w:p>
    <w:p>
      <w:pPr>
        <w:pStyle w:val="Heading2"/>
      </w:pPr>
      <w:bookmarkStart w:id="100025" w:name="_Toc100025"/>
      <w:r>
        <w:t>7.1 项目目录结构</w:t>
      </w:r>
      <w:bookmarkEnd w:id="100025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全部工程资产按统一的目录结构管理，使 AI 在每次任务中都能获得完整上下文，也使交付物可直接用于答辩与求职展示。目录结构如表 10 所示。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10 项目工程资产目录结构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84"/>
        <w:gridCol w:w="6503"/>
      </w:tblGrid>
      <w:tr>
        <w:trPr>
          <w:cantSplit/>
          <w:tblHeader/>
        </w:trPr>
        <w:tc>
          <w:tcPr>
            <w:tcW w:type="dxa" w:w="4394"/>
            <w:tcW w:w="13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目录</w:t>
            </w:r>
          </w:p>
        </w:tc>
        <w:tc>
          <w:tcPr>
            <w:tcW w:type="dxa" w:w="4394"/>
            <w:tcW w:w="37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存放内容</w:t>
            </w:r>
          </w:p>
        </w:tc>
      </w:tr>
      <w:tr>
        <w:trPr>
          <w:cantSplit/>
        </w:trPr>
        <w:tc>
          <w:tcPr>
            <w:tcW w:type="dxa" w:w="4394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00_Requirements</w:t>
            </w:r>
          </w:p>
        </w:tc>
        <w:tc>
          <w:tcPr>
            <w:tcW w:type="dxa" w:w="4394"/>
            <w:tcW w:w="37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需求规格书、需求变更记录</w:t>
            </w:r>
          </w:p>
        </w:tc>
      </w:tr>
      <w:tr>
        <w:trPr>
          <w:cantSplit/>
        </w:trPr>
        <w:tc>
          <w:tcPr>
            <w:tcW w:type="dxa" w:w="4394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01_System</w:t>
            </w:r>
          </w:p>
        </w:tc>
        <w:tc>
          <w:tcPr>
            <w:tcW w:type="dxa" w:w="4394"/>
            <w:tcW w:w="37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系统架构说明、通信协议文档</w:t>
            </w:r>
          </w:p>
        </w:tc>
      </w:tr>
      <w:tr>
        <w:trPr>
          <w:cantSplit/>
        </w:trPr>
        <w:tc>
          <w:tcPr>
            <w:tcW w:type="dxa" w:w="4394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02_Hardware</w:t>
            </w:r>
          </w:p>
        </w:tc>
        <w:tc>
          <w:tcPr>
            <w:tcW w:type="dxa" w:w="4394"/>
            <w:tcW w:w="37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原理图、PCB 工程、BOM 清单、硬件测试报告</w:t>
            </w:r>
          </w:p>
        </w:tc>
      </w:tr>
      <w:tr>
        <w:trPr>
          <w:cantSplit/>
        </w:trPr>
        <w:tc>
          <w:tcPr>
            <w:tcW w:type="dxa" w:w="4394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03_Firmware</w:t>
            </w:r>
          </w:p>
        </w:tc>
        <w:tc>
          <w:tcPr>
            <w:tcW w:type="dxa" w:w="4394"/>
            <w:tcW w:w="37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STM32 工程、各模块代码、README 与编译烧录说明</w:t>
            </w:r>
          </w:p>
        </w:tc>
      </w:tr>
      <w:tr>
        <w:trPr>
          <w:cantSplit/>
        </w:trPr>
        <w:tc>
          <w:tcPr>
            <w:tcW w:type="dxa" w:w="4394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04_LabVIEW</w:t>
            </w:r>
          </w:p>
        </w:tc>
        <w:tc>
          <w:tcPr>
            <w:tcW w:type="dxa" w:w="4394"/>
            <w:tcW w:w="37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上位机 VI 工程与打包程序</w:t>
            </w:r>
          </w:p>
        </w:tc>
      </w:tr>
      <w:tr>
        <w:trPr>
          <w:cantSplit/>
        </w:trPr>
        <w:tc>
          <w:tcPr>
            <w:tcW w:type="dxa" w:w="4394"/>
            <w:tcW w:w="13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05_Test</w:t>
            </w:r>
          </w:p>
        </w:tc>
        <w:tc>
          <w:tcPr>
            <w:tcW w:type="dxa" w:w="4394"/>
            <w:tcW w:w="37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测试方案、测试记录、Bug 记录、波形截图与串口日志</w:t>
            </w:r>
          </w:p>
        </w:tc>
      </w:tr>
      <w:tr>
        <w:trPr>
          <w:cantSplit/>
        </w:trPr>
        <w:tc>
          <w:tcPr>
            <w:tcW w:type="dxa" w:w="4394"/>
            <w:tcW w:w="13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06_Delivery</w:t>
            </w:r>
          </w:p>
        </w:tc>
        <w:tc>
          <w:tcPr>
            <w:tcW w:type="dxa" w:w="4394"/>
            <w:tcW w:w="37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用户手册、技术文档、答辩与毕业设计材料</w:t>
            </w:r>
          </w:p>
        </w:tc>
      </w:tr>
    </w:tbl>
    <w:p>
      <w:pPr>
        <w:pStyle w:val="Heading2"/>
      </w:pPr>
      <w:bookmarkStart w:id="100026" w:name="_Toc100026"/>
      <w:r>
        <w:t>7.2 版本与文档规范</w:t>
      </w:r>
      <w:bookmarkEnd w:id="100026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所有代码与文档纳入 Git 管理：main 分支始终保持可交付状态，功能开发在独立分支进行，经 Codex 审查并实测通过后方可合并。需求发生变更时，须同步更新需求规格书，并在变更记录中注明日期与原因。AI 生成的代码入库前必须通过实物回归测试；每次重要调试的示波器截图与串口日志按测试编号归档，作为后续诊断证据包的素材。</w:t>
      </w:r>
    </w:p>
    <w:p>
      <w:pPr>
        <w:pStyle w:val="Heading1"/>
      </w:pPr>
      <w:bookmarkStart w:id="100027" w:name="_Toc100027"/>
      <w:r>
        <w:t>8 风险分析与应对措施</w:t>
      </w:r>
      <w:bookmarkEnd w:id="100027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结合单人开发与 AI 协作的特点，识别出六类主要风险，如表 11 所示。风险应对的基本原则是：硬件备份与限流上电保安全，回归测试与双阶段审查保质量，里程碑核对保进度。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11 主要风险与应对措施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33"/>
        <w:gridCol w:w="1230"/>
        <w:gridCol w:w="5624"/>
      </w:tblGrid>
      <w:tr>
        <w:trPr>
          <w:cantSplit/>
          <w:tblHeader/>
        </w:trPr>
        <w:tc>
          <w:tcPr>
            <w:tcW w:type="dxa" w:w="2929"/>
            <w:tcW w:w="11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风险</w:t>
            </w:r>
          </w:p>
        </w:tc>
        <w:tc>
          <w:tcPr>
            <w:tcW w:type="dxa" w:w="2929"/>
            <w:tcW w:w="7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影响程度</w:t>
            </w:r>
          </w:p>
        </w:tc>
        <w:tc>
          <w:tcPr>
            <w:tcW w:type="dxa" w:w="2929"/>
            <w:tcW w:w="32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2929"/>
            <w:tcW w:w="1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硬件损坏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导致进度中断</w:t>
            </w:r>
          </w:p>
        </w:tc>
        <w:tc>
          <w:tcPr>
            <w:tcW w:type="dxa" w:w="2929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2929"/>
            <w:tcW w:w="3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关键元器件（最小系统板、驱动模块）准备备份；首次上电使用限流电源；先测电源、后接负载</w:t>
            </w:r>
          </w:p>
        </w:tc>
      </w:tr>
      <w:tr>
        <w:trPr>
          <w:cantSplit/>
        </w:trPr>
        <w:tc>
          <w:tcPr>
            <w:tcW w:type="dxa" w:w="2929"/>
            <w:tcW w:w="1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AI 代码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存在隐蔽缺陷</w:t>
            </w:r>
          </w:p>
        </w:tc>
        <w:tc>
          <w:tcPr>
            <w:tcW w:type="dxa" w:w="2929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2929"/>
            <w:tcW w:w="3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坚持实物回归测试；Codex 双阶段审查；将缓冲区、超时、中断冲突列为固定检查项</w:t>
            </w:r>
          </w:p>
        </w:tc>
      </w:tr>
      <w:tr>
        <w:trPr>
          <w:cantSplit/>
        </w:trPr>
        <w:tc>
          <w:tcPr>
            <w:tcW w:type="dxa" w:w="2929"/>
            <w:tcW w:w="1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学习进度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滞后于计划</w:t>
            </w:r>
          </w:p>
        </w:tc>
        <w:tc>
          <w:tcPr>
            <w:tcW w:type="dxa" w:w="2929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2929"/>
            <w:tcW w:w="3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每周末核对阶段里程碑；允许调整模块开发顺序但不降低验收标准；必要时压缩 PCB 打样周期</w:t>
            </w:r>
          </w:p>
        </w:tc>
      </w:tr>
      <w:tr>
        <w:trPr>
          <w:cantSplit/>
        </w:trPr>
        <w:tc>
          <w:tcPr>
            <w:tcW w:type="dxa" w:w="2929"/>
            <w:tcW w:w="1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强模型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诊断结论误导</w:t>
            </w:r>
          </w:p>
        </w:tc>
        <w:tc>
          <w:tcPr>
            <w:tcW w:type="dxa" w:w="2929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2929"/>
            <w:tcW w:w="3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诊断结论必须设计验证实验确认；同一问题交叉询问两个模型并比对结论</w:t>
            </w:r>
          </w:p>
        </w:tc>
      </w:tr>
      <w:tr>
        <w:trPr>
          <w:cantSplit/>
        </w:trPr>
        <w:tc>
          <w:tcPr>
            <w:tcW w:type="dxa" w:w="2929"/>
            <w:tcW w:w="11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文档与代码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不同步</w:t>
            </w:r>
          </w:p>
        </w:tc>
        <w:tc>
          <w:tcPr>
            <w:tcW w:type="dxa" w:w="2929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2929"/>
            <w:tcW w:w="3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文档更新纳入各阶段交付物检查；代码合并时同步检查 README 与协议文档</w:t>
            </w:r>
          </w:p>
        </w:tc>
      </w:tr>
      <w:tr>
        <w:trPr>
          <w:cantSplit/>
        </w:trPr>
        <w:tc>
          <w:tcPr>
            <w:tcW w:type="dxa" w:w="2929"/>
            <w:tcW w:w="11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SWD 调试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连接不稳定</w:t>
            </w:r>
          </w:p>
        </w:tc>
        <w:tc>
          <w:tcPr>
            <w:tcW w:type="dxa" w:w="2929"/>
            <w:tcW w:w="7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2929"/>
            <w:tcW w:w="32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按社区经验排查 SWD 接线、复位电路与驱动安装；保留串口 ISP 与 BOOT 跳线作为备用烧录通道</w:t>
            </w:r>
          </w:p>
        </w:tc>
      </w:tr>
    </w:tbl>
    <w:p>
      <w:pPr>
        <w:pStyle w:val="Heading1"/>
      </w:pPr>
      <w:bookmarkStart w:id="100028" w:name="_Toc100028"/>
      <w:r>
        <w:t>9 预期成果与能力沉淀</w:t>
      </w:r>
      <w:bookmarkEnd w:id="100028"/>
    </w:p>
    <w:p>
      <w:pPr>
        <w:pStyle w:val="Heading2"/>
      </w:pPr>
      <w:bookmarkStart w:id="100029" w:name="_Toc100029"/>
      <w:r>
        <w:t>9.1 预期交付成果</w:t>
      </w:r>
      <w:bookmarkEnd w:id="100029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完成本方案后，应交付：一套通过联调的测控系统（含 PCB 实物）、STM32 固件工程、LabVIEW 上位机、完整测试记录与硬件测试报告，以及按统一目录组织的工程文档。其中，各阶段积累的实测数据与诊断记录构成毕业论文的核心素材。</w:t>
      </w:r>
    </w:p>
    <w:p>
      <w:pPr>
        <w:pStyle w:val="Heading2"/>
      </w:pPr>
      <w:bookmarkStart w:id="100030" w:name="_Toc100030"/>
      <w:r>
        <w:t>9.2 能力沉淀与求职表述</w:t>
      </w:r>
      <w:bookmarkEnd w:id="100030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本方案真正沉淀的能力包括：系统需求定义与拆解、硬件架构与选型判断、以实测为准的验证习惯、多模型协作的组织方法，以及对通信协议、电源设计、信号采集等原理的亲身理解。这些能力可以通过一段完整的经历来表述：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/>
          <w:i w:val="0"/>
          <w:color w:val="000000"/>
          <w:sz w:val="24"/>
        </w:rPr>
        <w:t>“本人负责系统需求与硬件架构，设计了基于 STM32F103C8T6 的测控板，制定了上下位机通信协议，采用 AI 辅助方式完成固件开发，通过示波器与万用表完成硬件验证，使用 LabVIEW 实现上位机监控与数据采集，最终完成系统联调与交付。”</w:t>
      </w:r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这一表述背后有完整的过程记录与工程资产支撑，其含金量显著高于单纯的“会使用 STM32 和 LabVIEW”。项目结束后，本方案所定义的工作流本身也可以作为方法论沉淀，迁移到后续任何软硬件结合的开发任务中。</w:t>
      </w:r>
    </w:p>
    <w:p>
      <w:pPr>
        <w:pStyle w:val="Heading1"/>
      </w:pPr>
      <w:bookmarkStart w:id="100031" w:name="_Toc100031"/>
      <w:r>
        <w:t>10 创新点设计与答辩准备</w:t>
      </w:r>
      <w:bookmarkEnd w:id="100031"/>
    </w:p>
    <w:p>
      <w:pPr>
        <w:pStyle w:val="Heading2"/>
      </w:pPr>
      <w:bookmarkStart w:id="100032" w:name="_Toc100032"/>
      <w:r>
        <w:t>10.1 创新点设计</w:t>
      </w:r>
      <w:bookmarkEnd w:id="100032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根据公开的毕业设计评分标准与选题经验，创新性是评定优秀的关键条件，而单纯“采集+显示”类课题难以支撑创新性评价。结合本课题的测控定位，从检索到的主流创新方向（控制算法优化、上位机数据管理、通信可靠性设计、物联扩展）中筛选出以下候选创新点，并给出落地方式与取舍建议，见表 12。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12 创新点设计与取舍建议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57"/>
        <w:gridCol w:w="3163"/>
        <w:gridCol w:w="1230"/>
        <w:gridCol w:w="2636"/>
      </w:tblGrid>
      <w:tr>
        <w:trPr>
          <w:cantSplit/>
          <w:tblHeader/>
        </w:trPr>
        <w:tc>
          <w:tcPr>
            <w:tcW w:type="dxa" w:w="2197"/>
            <w:tcW w:w="10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创新点</w:t>
            </w:r>
          </w:p>
        </w:tc>
        <w:tc>
          <w:tcPr>
            <w:tcW w:type="dxa" w:w="2197"/>
            <w:tcW w:w="18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在本课题中的落地方式</w:t>
            </w:r>
          </w:p>
        </w:tc>
        <w:tc>
          <w:tcPr>
            <w:tcW w:type="dxa" w:w="2197"/>
            <w:tcW w:w="7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实现成本</w:t>
            </w:r>
          </w:p>
        </w:tc>
        <w:tc>
          <w:tcPr>
            <w:tcW w:type="dxa" w:w="2197"/>
            <w:tcW w:w="15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21"/>
              </w:rPr>
              <w:t>建议</w:t>
            </w:r>
          </w:p>
        </w:tc>
      </w:tr>
      <w:tr>
        <w:trPr>
          <w:cantSplit/>
        </w:trPr>
        <w:tc>
          <w:tcPr>
            <w:tcW w:type="dxa" w:w="2197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直流电机 PID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调速闭环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TB6612 驱动带编码器电机，增量式 PID 闭环调速，LabVIEW 实时显示设定与实际转速曲线</w:t>
            </w:r>
          </w:p>
        </w:tc>
        <w:tc>
          <w:tcPr>
            <w:tcW w:type="dxa" w:w="2197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推荐采纳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阶段三实现</w:t>
            </w:r>
          </w:p>
        </w:tc>
      </w:tr>
      <w:tr>
        <w:trPr>
          <w:cantSplit/>
        </w:trPr>
        <w:tc>
          <w:tcPr>
            <w:tcW w:type="dxa" w:w="2197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上位机数据管理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LabVIEW 历史数据存储与导出、曲线回放与异常区间标注</w:t>
            </w:r>
          </w:p>
        </w:tc>
        <w:tc>
          <w:tcPr>
            <w:tcW w:type="dxa" w:w="2197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推荐采纳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阶段二打底</w:t>
            </w:r>
          </w:p>
        </w:tc>
      </w:tr>
      <w:tr>
        <w:trPr>
          <w:cantSplit/>
        </w:trPr>
        <w:tc>
          <w:tcPr>
            <w:tcW w:type="dxa" w:w="2197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通信可靠性设计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帧头+长度+校验和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+超时重传的完整协议，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并给出丢包率对比数据</w:t>
            </w:r>
          </w:p>
        </w:tc>
        <w:tc>
          <w:tcPr>
            <w:tcW w:type="dxa" w:w="2197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推荐采纳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已纳入阶段三</w:t>
            </w:r>
          </w:p>
        </w:tc>
      </w:tr>
      <w:tr>
        <w:trPr>
          <w:cantSplit/>
        </w:trPr>
        <w:tc>
          <w:tcPr>
            <w:tcW w:type="dxa" w:w="2197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双方案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电流测量对比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采样电阻+运放接 ADC 与 INA219(I2C）两种方案的实测精度对比，形成论文数据</w:t>
            </w:r>
          </w:p>
        </w:tc>
        <w:tc>
          <w:tcPr>
            <w:tcW w:type="dxa" w:w="2197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可选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视阶段二进度</w:t>
            </w:r>
          </w:p>
        </w:tc>
      </w:tr>
      <w:tr>
        <w:trPr>
          <w:cantSplit/>
        </w:trPr>
        <w:tc>
          <w:tcPr>
            <w:tcW w:type="dxa" w:w="2197"/>
            <w:tcW w:w="10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物联远程监控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ESP8266 接入云平台，手机端查看测控数据</w:t>
            </w:r>
          </w:p>
        </w:tc>
        <w:tc>
          <w:tcPr>
            <w:tcW w:type="dxa" w:w="2197"/>
            <w:tcW w:w="700" w:type="pct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备选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进度充裕时启动</w:t>
            </w:r>
          </w:p>
        </w:tc>
      </w:tr>
      <w:tr>
        <w:trPr>
          <w:cantSplit/>
        </w:trPr>
        <w:tc>
          <w:tcPr>
            <w:tcW w:type="dxa" w:w="2197"/>
            <w:tcW w:w="10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AI 辅助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开发工作流</w:t>
            </w:r>
          </w:p>
        </w:tc>
        <w:tc>
          <w:tcPr>
            <w:tcW w:type="dxa" w:w="2197"/>
            <w:tcW w:w="1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将本方案的人机分工与工程闭环作为方法论写入论文，以测试记录佐证其有效性</w:t>
            </w:r>
          </w:p>
        </w:tc>
        <w:tc>
          <w:tcPr>
            <w:tcW w:type="dxa" w:w="2197"/>
            <w:tcW w:w="700" w:type="pct"/>
            <w:vAlign w:val="center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2197"/>
            <w:tcW w:w="15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推荐采纳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1"/>
              </w:rPr>
              <w:t>贯穿全程</w:t>
            </w:r>
          </w:p>
        </w:tc>
      </w:tr>
    </w:tbl>
    <w:p>
      <w:pPr>
        <w:pStyle w:val="Heading2"/>
      </w:pPr>
      <w:bookmarkStart w:id="100033" w:name="_Toc100033"/>
      <w:r>
        <w:t>10.2 答辩准备要点</w:t>
      </w:r>
      <w:bookmarkEnd w:id="100033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公开的高校答辩要求显示：答辩一般占毕业设计总评的四成左右，通常要求 10 分钟左右的陈述 PPT，鼓励携带笔记本电脑进行现场实物演示；论文正文普遍要求不少于 1.5 万字，格式不规范可能直接影响成绩评定。据此，阶段四须落实以下准备：制作 10 分钟陈述 PPT 并录制演示视频作为备份；准备可现场运行的实物与上位机；按学校模板核对论文格式与图表规范；组织不少于两次模拟答辩；预先准备评委高频问题的回答，包括选题依据、创新点、关键参数取舍（如 50Hz 舵机信号、电机驱动选型）与实测数据来源。</w:t>
      </w:r>
    </w:p>
    <w:p>
      <w:pPr>
        <w:pStyle w:val="Heading1"/>
      </w:pPr>
      <w:bookmarkStart w:id="100034" w:name="_Toc100034"/>
      <w:r>
        <w:t>11 参考资源清单</w:t>
      </w:r>
      <w:bookmarkEnd w:id="100034"/>
    </w:p>
    <w:p>
      <w:pPr>
        <w:pStyle w:val="Heading2"/>
      </w:pPr>
      <w:bookmarkStart w:id="100035" w:name="_Toc100035"/>
      <w:r>
        <w:t>11.1 使用说明</w:t>
      </w:r>
      <w:bookmarkEnd w:id="100035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以下资源于 2026 年 9 月 13 日经搜索引擎检索整理，按官方与社区文档、CSDN 实战与避坑文章、GitHub 开源项目、视频课程与选题答辩参考四类组织。资源定位为对照学习与避坑参考，不能替代本人的实物测试与验证；引用进论文前须自行核对原文与版本时效。</w:t>
      </w:r>
    </w:p>
    <w:p>
      <w:pPr>
        <w:pStyle w:val="Heading2"/>
      </w:pPr>
      <w:bookmarkStart w:id="100036" w:name="_Toc100036"/>
      <w:r>
        <w:t>11.2 官方与社区文档</w:t>
      </w:r>
      <w:bookmarkEnd w:id="100036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官方与社区文档的权威性最高，优先用于确认 API 用法与硬件原理，见表 13。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13 官方与社区文档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921"/>
        <w:gridCol w:w="3866"/>
      </w:tblGrid>
      <w:tr>
        <w:trPr>
          <w:cantSplit/>
          <w:tblHeader/>
        </w:trPr>
        <w:tc>
          <w:tcPr>
            <w:tcW w:type="dxa" w:w="4394"/>
            <w:tcW w:w="28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资源</w:t>
            </w:r>
          </w:p>
        </w:tc>
        <w:tc>
          <w:tcPr>
            <w:tcW w:type="dxa" w:w="4394"/>
            <w:tcW w:w="22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说明与建议用途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 Serial Port Control with LabVIEW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(NI Community 论坛）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forums.ni.com/t5/LabVIEW-Embedded/STM32-Serial-Port-Control-with-LabView/td-p/4091331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LabVIEW 用 VISA 配置串口与 STM32 通信的官方论坛帖；阶段二上位机开发参考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 社区：Nucleo 与 LabVIEW 串口通信讨论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community.st.com/others-stm32-mcus-related-142/regarding-serial-communication-between-stm32-nucleo-f401re-and-labview-145428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上位机向 STM32 下发控制命令的双向通信讨论；阶段三协议设计参考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野火《电机应用开发实战指南》电流电压采集章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doc.embedfire.com/motor/motor_tutorial/zh/latest/basis_part/brushed_current_vbus_gather.html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母线电流采样的采样电阻+运放+ADC 架构讲解；阶段二电流检测主线方案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TI 电流检测芯片中文资料（含 INA219 系列）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ti.com.cn/cn/lit/pdf/zhcac20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TI 电流检测官方资料与 INA232 迁移说明；电流方案精度升级时的进阶阅读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SimpleFOC 低侧电流采样文档（中文）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docs.simplefoc.com/docs_chinese/low_side_current_sense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分流电阻+增益+ADC 的低侧采样架构；理解电流采样原理的进阶材料</w:t>
            </w:r>
          </w:p>
        </w:tc>
      </w:tr>
    </w:tbl>
    <w:p>
      <w:pPr>
        <w:pStyle w:val="Heading2"/>
      </w:pPr>
      <w:bookmarkStart w:id="100037" w:name="_Toc100037"/>
      <w:r>
        <w:t>11.3 CSDN 实战与避坑文章</w:t>
      </w:r>
      <w:bookmarkEnd w:id="100037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CSDN 上同平台（C8T6)、同课题类型的实战文章最多，适合作为各阶段的对照材料，见表 14。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14 CSDN 实战与避坑文章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921"/>
        <w:gridCol w:w="3866"/>
      </w:tblGrid>
      <w:tr>
        <w:trPr>
          <w:cantSplit/>
          <w:tblHeader/>
        </w:trPr>
        <w:tc>
          <w:tcPr>
            <w:tcW w:type="dxa" w:w="4394"/>
            <w:tcW w:w="28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资源</w:t>
            </w:r>
          </w:p>
        </w:tc>
        <w:tc>
          <w:tcPr>
            <w:tcW w:type="dxa" w:w="4394"/>
            <w:tcW w:w="22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说明与建议用途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基于 STM32F103C8T6 的毕业设计入门实战：从外设配置到系统集成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blog.csdn.net/2600_94959951/article/details/159419574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外设配置到系统集成的完整路线，含 SWD 调试不稳定等高频坑点；阶段一通读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 毕业设计选题避坑指南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blog.csdn.net/weixin_36483050/article/details/157951626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从芯片资源、外设复杂度、可观测性评估选题门槛；已定题者用作风险自查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基于 STM32F103C8T6 的智能环境监测系统设计与实现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blog.csdn.net/weixin_33910191/article/details/164607333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同类测控项目的选型思路与系统架构参考，含芯片选型理由分析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STM32F103C8T6 最小系统设计（电源与 PCB)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blog.csdn.net/weixin_45844053/article/details/136843955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5V 转 3.3V 电源实用技巧与 PCB 打板注意事项；阶段三硬件设计前必读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STM32F103C8T6 最小系统设计全指南（工业级）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blog.csdn.net/rust6ferris/article/details/155739890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电源、晶振、复位、BOOT 四大子系统可靠性设计；PCB 阶段对照检查清单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HAL 库 + STM32CubeMX 系列学习教程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blog.csdn.net/as480133937/article/details/99935090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CubeMX 图形化配置与 HAL 库入门主线教程；阶段一使用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 开发：INA219 采集电压、电流值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blog.csdn.net/weixin_48991062/article/details/134292801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INA219 I2C 电流检测教程；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阶段二对比方案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 控制 TT 马达：从 H 桥原理到 TB6612FNG 实战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bbs.csdn.net/weixin_29181861/article/details/100282907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L298N 压降问题的量化分析与 TB6612 实战；阶段二电机驱动参考</w:t>
            </w:r>
          </w:p>
        </w:tc>
      </w:tr>
    </w:tbl>
    <w:p>
      <w:pPr>
        <w:pStyle w:val="Heading2"/>
      </w:pPr>
      <w:bookmarkStart w:id="100038" w:name="_Toc100038"/>
      <w:r>
        <w:t>11.4 开源项目参考</w:t>
      </w:r>
      <w:bookmarkEnd w:id="100038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开源项目用于对标上位机形态与数据组织方式，重点学习其帧解析与界面设计思路，而不是直接照搬，见表 15。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15 开源项目参考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921"/>
        <w:gridCol w:w="3866"/>
      </w:tblGrid>
      <w:tr>
        <w:trPr>
          <w:cantSplit/>
          <w:tblHeader/>
        </w:trPr>
        <w:tc>
          <w:tcPr>
            <w:tcW w:type="dxa" w:w="4394"/>
            <w:tcW w:w="28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资源</w:t>
            </w:r>
          </w:p>
        </w:tc>
        <w:tc>
          <w:tcPr>
            <w:tcW w:type="dxa" w:w="4394"/>
            <w:tcW w:w="22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说明与建议用途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Serial-Studio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github.com/Serial-Studio/Serial-Studio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开源串口遥测仪表盘，支持 STM32 等设备接入；上位机界面与数据组织思路的对标对象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xiahouzuoxin/zxSerial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github.com/xiahouzuoxin/zxSerial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基于 LabVIEW 的串口波形上位机；波形显示与帧解析的实现参考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xiahouzuoxin/notes 中的《LabVIEW 上位机与串口通信》笔记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github.com/xiahouzuoxin/notes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(essays 目录）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帧解析、多通道数据与带时间戳存储的文字教程；阶段二阅读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HoussemLahmar/STM32_data_logger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github.com/HoussemLahmar/STM32_data_logger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 模拟量到 PC 的数据记录项目；上位机数据落盘格式的参考</w:t>
            </w:r>
          </w:p>
        </w:tc>
      </w:tr>
    </w:tbl>
    <w:p>
      <w:pPr>
        <w:pStyle w:val="Heading2"/>
      </w:pPr>
      <w:bookmarkStart w:id="100039" w:name="_Toc100039"/>
      <w:r>
        <w:t>11.5 视频课程与选题、答辩参考</w:t>
      </w:r>
      <w:bookmarkEnd w:id="100039"/>
    </w:p>
    <w:p>
      <w:pPr>
        <w:keepNext w:val="0"/>
        <w:spacing w:before="0" w:after="80" w:line="312" w:lineRule="auto"/>
        <w:ind w:firstLine="48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4"/>
        </w:rPr>
        <w:t>视频课程适合入门建立直觉，选题与答辩资料用于对照评分要求校准工作量，见表 16。</w:t>
      </w:r>
    </w:p>
    <w:p>
      <w:pPr>
        <w:keepNext/>
        <w:spacing w:before="140" w:after="80" w:line="312" w:lineRule="auto"/>
        <w:jc w:val="center"/>
      </w:pPr>
      <w:r>
        <w:rPr>
          <w:rFonts w:ascii="Times New Roman" w:hAnsi="Times New Roman" w:eastAsia="SimHei"/>
          <w:b/>
          <w:i w:val="0"/>
          <w:color w:val="000000"/>
          <w:sz w:val="21"/>
        </w:rPr>
        <w:t>表 16 视频课程与选题、答辩参考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6" w:color="D4875A"/>
          <w:left w:val="none" w:sz="0" w:color="auto"/>
          <w:bottom w:val="single" w:sz="6" w:color="D4875A"/>
          <w:right w:val="none" w:sz="0" w:color="auto"/>
          <w:insideH w:val="single" w:sz="2" w:color="DDD0C8"/>
          <w:insideV w:val="none" w:sz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921"/>
        <w:gridCol w:w="3866"/>
      </w:tblGrid>
      <w:tr>
        <w:trPr>
          <w:cantSplit/>
          <w:tblHeader/>
        </w:trPr>
        <w:tc>
          <w:tcPr>
            <w:tcW w:type="dxa" w:w="4394"/>
            <w:tcW w:w="28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资源</w:t>
            </w:r>
          </w:p>
        </w:tc>
        <w:tc>
          <w:tcPr>
            <w:tcW w:type="dxa" w:w="4394"/>
            <w:tcW w:w="2200" w:type="pct"/>
            <w:shd w:val="clear" w:color="auto" w:fill="D4875A"/>
            <w:vAlign w:val="center"/>
          </w:tcPr>
          <w:p>
            <w:pPr>
              <w:keepNext/>
              <w:spacing w:line="312" w:lineRule="auto"/>
              <w:jc w:val="center"/>
            </w:pPr>
            <w:r>
              <w:rPr>
                <w:rFonts w:ascii="Times New Roman" w:hAnsi="Times New Roman" w:eastAsia="SimHei"/>
                <w:b/>
                <w:i w:val="0"/>
                <w:color w:val="FFFFFF"/>
                <w:sz w:val="18"/>
              </w:rPr>
              <w:t>说明与建议用途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《STM32F103C8T6 从入门到精通》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最小系统原理图解读（B 站）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bilibili.com/video/BV1Ui4y1W7SY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零基础最小系统原理图视频讲解；阶段一开板前观看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labview + STM32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温湿度数据采集演示（B 站）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bilibili.com/video/BV1fA411Q77A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 与 LabVIEW 上位机联动的完整效果演示；阶段二交付形态参考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江协科技、正点原子、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韦东山 STM32 系列课程（B 站）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bilibili.com（搜索课程名）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口碑较好的系统课程；江协科技适合入门打基础，正点原子配套资料齐全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《STM32 初学者，到底选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标准库还是 HAL 库？》（知乎）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zhuanlan.zhihu.com/p/648673431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标准库与 HAL 库的取舍分析；阶段一路线决策参考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西北工业大学生命学院毕业设计成绩评定标准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shengming.nwpu.edu.cn/info/1033/4248.htm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公开的评分标准样例；对照理解创新性与规范性要求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STM32 毕业设计题目 350 例（CSDN)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blog.csdn.net/m0_71369066/article/details/131654824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keepNext/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同类课题选题库；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对比工作量与创新点定位</w:t>
            </w:r>
          </w:p>
        </w:tc>
      </w:tr>
      <w:tr>
        <w:trPr>
          <w:cantSplit/>
        </w:trPr>
        <w:tc>
          <w:tcPr>
            <w:tcW w:type="dxa" w:w="4394"/>
            <w:tcW w:w="28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本科毕业设计答辩经验帖（知乎）</w:t>
            </w:r>
          </w:p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zhuanlan.zhihu.com/p/521687229</w:t>
            </w:r>
          </w:p>
        </w:tc>
        <w:tc>
          <w:tcPr>
            <w:tcW w:type="dxa" w:w="4394"/>
            <w:tcW w:w="2200" w:type="pct"/>
            <w:vAlign w:val="center"/>
          </w:tcPr>
          <w:p>
            <w:pPr>
              <w:spacing w:line="312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答辩 PPT 与现场答辩实操建议；阶段四答辩准备参考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pgSz w:w="11906" w:h="16838"/>
      <w:pgMar w:top="1440" w:right="1417" w:bottom="1440" w:left="1701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i w:val="0"/>
        <w:color w:val="808080"/>
        <w:sz w:val="18"/>
      </w:rPr>
      <w:fldChar w:fldCharType="begin"/>
    </w:r>
    <w:r>
      <w:rPr>
        <w:rFonts w:ascii="Times New Roman" w:hAnsi="Times New Roman" w:eastAsia="SimSun"/>
        <w:b w:val="0"/>
        <w:i w:val="0"/>
        <w:color w:val="808080"/>
        <w:sz w:val="18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color w:val="808080"/>
        <w:sz w:val="18"/>
      </w:rPr>
      <w:fldChar w:fldCharType="separate"/>
    </w:r>
    <w:r>
      <w:rPr>
        <w:rFonts w:ascii="Times New Roman" w:hAnsi="Times New Roman" w:eastAsia="SimSun"/>
        <w:b w:val="0"/>
        <w:i w:val="0"/>
        <w:color w:val="808080"/>
        <w:sz w:val="18"/>
      </w:rPr>
      <w:t>I</w:t>
    </w:r>
    <w:r>
      <w:rPr>
        <w:rFonts w:ascii="Times New Roman" w:hAnsi="Times New Roman" w:eastAsia="SimSun"/>
        <w:b w:val="0"/>
        <w:i w:val="0"/>
        <w:color w:val="808080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i w:val="0"/>
        <w:color w:val="808080"/>
        <w:sz w:val="18"/>
      </w:rPr>
      <w:fldChar w:fldCharType="begin"/>
    </w:r>
    <w:r>
      <w:rPr>
        <w:rFonts w:ascii="Times New Roman" w:hAnsi="Times New Roman" w:eastAsia="SimSun"/>
        <w:b w:val="0"/>
        <w:i w:val="0"/>
        <w:color w:val="808080"/>
        <w:sz w:val="18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color w:val="808080"/>
        <w:sz w:val="18"/>
      </w:rPr>
      <w:fldChar w:fldCharType="separate"/>
    </w:r>
    <w:r>
      <w:rPr>
        <w:rFonts w:ascii="Times New Roman" w:hAnsi="Times New Roman" w:eastAsia="SimSun"/>
        <w:b w:val="0"/>
        <w:i w:val="0"/>
        <w:color w:val="808080"/>
        <w:sz w:val="18"/>
      </w:rPr>
      <w:t>1</w:t>
    </w:r>
    <w:r>
      <w:rPr>
        <w:rFonts w:ascii="Times New Roman" w:hAnsi="Times New Roman" w:eastAsia="SimSun"/>
        <w:b w:val="0"/>
        <w:i w:val="0"/>
        <w:color w:val="80808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b w:val="0"/>
        <w:i w:val="0"/>
        <w:color w:val="808080"/>
        <w:sz w:val="18"/>
      </w:rPr>
      <w:t>AI 辅助工程学习方案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i w:val="0"/>
      <w:color w:val="1A23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12" w:lineRule="auto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i w:val="0"/>
      <w:color w:val="1A23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10" w:line="312" w:lineRule="auto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i w:val="0"/>
      <w:color w:val="1A233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