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1D8365">
      <w:pPr>
        <w:pStyle w:val="2"/>
        <w:spacing w:after="200"/>
        <w:jc w:val="center"/>
      </w:pPr>
      <w:r>
        <w:t>2026 年中国大学生计算机设计大赛大数据实践赛作品报告</w:t>
      </w:r>
    </w:p>
    <w:p w14:paraId="60482D38">
      <w:pPr>
        <w:pStyle w:val="2"/>
        <w:spacing w:after="200"/>
        <w:jc w:val="center"/>
      </w:pPr>
      <w:r>
        <w:t>2026年（第19届）中国大学生计算机设计大赛大数据实践赛</w:t>
      </w:r>
    </w:p>
    <w:p w14:paraId="12C1E59F">
      <w:pPr>
        <w:pStyle w:val="2"/>
        <w:spacing w:after="200"/>
        <w:jc w:val="center"/>
      </w:pPr>
      <w:r>
        <w:t>《三元智鉴：基于多模态数据的肝病-糖尿病-脑卒中协同预测与个性化健康干预平台》</w:t>
      </w:r>
    </w:p>
    <w:p w14:paraId="0CD41645">
      <w:pPr>
        <w:pStyle w:val="3"/>
        <w:spacing w:after="200"/>
        <w:jc w:val="left"/>
      </w:pPr>
      <w:r>
        <w:t>作品报告最终适配版模板</w:t>
      </w:r>
    </w:p>
    <w:p w14:paraId="75134479">
      <w:pPr>
        <w:spacing w:after="120"/>
        <w:jc w:val="left"/>
      </w:pPr>
      <w:r>
        <w:t>（</w:t>
      </w:r>
      <w:r>
        <w:rPr>
          <w:b/>
          <w:bCs/>
        </w:rPr>
        <w:t>100%匹配3项核心调整</w:t>
      </w:r>
      <w:r>
        <w:t>：开源数据集合规性、三类个性化推荐方案、3台电脑集群真实部署场景，严格符合2026年大赛最新评审规则与合规要求，可直接填写使用）</w:t>
      </w:r>
    </w:p>
    <w:p w14:paraId="7C2F9475">
      <w:pPr>
        <w:spacing w:after="200"/>
      </w:pPr>
      <w:r>
        <w:t xml:space="preserve"> </w:t>
      </w:r>
    </w:p>
    <w:p w14:paraId="1679D24A">
      <w:pPr>
        <w:pBdr>
          <w:bottom w:val="single" w:color="auto" w:sz="6" w:space="1"/>
        </w:pBdr>
        <w:spacing w:after="120"/>
      </w:pPr>
    </w:p>
    <w:p w14:paraId="58B339E5">
      <w:pPr>
        <w:spacing w:after="200"/>
      </w:pPr>
      <w:r>
        <w:t xml:space="preserve"> </w:t>
      </w:r>
    </w:p>
    <w:p w14:paraId="3DB6F055">
      <w:pPr>
        <w:pStyle w:val="3"/>
        <w:spacing w:after="200"/>
        <w:jc w:val="left"/>
      </w:pPr>
      <w:r>
        <w:t>▶ 封面（严格遵循大赛官方格式，必填）</w:t>
      </w:r>
    </w:p>
    <w:p w14:paraId="067AD648">
      <w:pPr>
        <w:pStyle w:val="2"/>
        <w:spacing w:after="200"/>
        <w:jc w:val="center"/>
      </w:pPr>
      <w:r>
        <w:t>2026年（第19届）中国大学生计算机设计大赛</w:t>
      </w:r>
    </w:p>
    <w:p w14:paraId="030249D5">
      <w:pPr>
        <w:pStyle w:val="3"/>
        <w:spacing w:after="200"/>
        <w:jc w:val="left"/>
      </w:pPr>
      <w:r>
        <w:t>大数据实践赛作品报告</w:t>
      </w:r>
    </w:p>
    <w:p w14:paraId="338FC8B9">
      <w:pPr>
        <w:spacing w:after="240"/>
      </w:pPr>
      <w:r>
        <w:t xml:space="preserve"> </w:t>
      </w:r>
    </w:p>
    <w:tbl>
      <w:tblPr>
        <w:tblStyle w:val="1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1544"/>
        <w:gridCol w:w="7722"/>
      </w:tblGrid>
      <w:tr w14:paraId="4DE8C3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tblHeader/>
        </w:trPr>
        <w:tc>
          <w:p w14:paraId="3D75CC08">
            <w:pPr>
              <w:jc w:val="left"/>
            </w:pPr>
            <w:r>
              <w:rPr>
                <w:b/>
                <w:bCs/>
              </w:rPr>
              <w:t>作品编号</w:t>
            </w:r>
          </w:p>
        </w:tc>
        <w:tc>
          <w:p w14:paraId="144C78ED">
            <w:pPr>
              <w:jc w:val="left"/>
            </w:pPr>
            <w:r>
              <w:rPr>
                <w:b/>
                <w:bCs/>
              </w:rPr>
              <w:t>【大赛系统分配后填写】</w:t>
            </w:r>
          </w:p>
        </w:tc>
      </w:tr>
      <w:tr w14:paraId="2D7AE7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64781F62">
            <w:pPr>
              <w:jc w:val="left"/>
            </w:pPr>
            <w:r>
              <w:t>作品名称</w:t>
            </w:r>
          </w:p>
        </w:tc>
        <w:tc>
          <w:p w14:paraId="038D764F">
            <w:pPr>
              <w:jc w:val="left"/>
            </w:pPr>
            <w:r>
              <w:t>三元智鉴：基于多模态数据的肝病-糖尿病-脑卒中协同预测与个性化健康干预平台</w:t>
            </w:r>
          </w:p>
        </w:tc>
      </w:tr>
      <w:tr w14:paraId="7F0976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2D48D163">
            <w:pPr>
              <w:jc w:val="left"/>
            </w:pPr>
            <w:r>
              <w:t>参赛赛道</w:t>
            </w:r>
          </w:p>
        </w:tc>
        <w:tc>
          <w:p w14:paraId="5153092E">
            <w:pPr>
              <w:jc w:val="left"/>
            </w:pPr>
            <w:r>
              <w:t>大数据应用实践赛</w:t>
            </w:r>
          </w:p>
        </w:tc>
      </w:tr>
      <w:tr w14:paraId="29B73C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7B41D2F6">
            <w:pPr>
              <w:jc w:val="left"/>
            </w:pPr>
            <w:r>
              <w:t>参赛院校</w:t>
            </w:r>
          </w:p>
        </w:tc>
        <w:tc>
          <w:p w14:paraId="0CD4AF22">
            <w:pPr>
              <w:jc w:val="left"/>
            </w:pPr>
            <w:r>
              <w:t>【填写完整院校名称】</w:t>
            </w:r>
          </w:p>
        </w:tc>
      </w:tr>
      <w:tr w14:paraId="45484D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44C75649">
            <w:pPr>
              <w:jc w:val="left"/>
            </w:pPr>
            <w:r>
              <w:t>参赛队员</w:t>
            </w:r>
          </w:p>
        </w:tc>
        <w:tc>
          <w:p w14:paraId="7674E2F0">
            <w:pPr>
              <w:jc w:val="left"/>
            </w:pPr>
            <w:r>
              <w:t>【姓名+学号，按贡献排序】</w:t>
            </w:r>
          </w:p>
        </w:tc>
      </w:tr>
      <w:tr w14:paraId="23839F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4EA381EF">
            <w:pPr>
              <w:jc w:val="left"/>
            </w:pPr>
            <w:r>
              <w:t>指导教师</w:t>
            </w:r>
          </w:p>
        </w:tc>
        <w:tc>
          <w:p w14:paraId="795FCFD2">
            <w:pPr>
              <w:jc w:val="left"/>
            </w:pPr>
            <w:r>
              <w:t>【姓名+职称】</w:t>
            </w:r>
          </w:p>
        </w:tc>
      </w:tr>
      <w:tr w14:paraId="70560B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0A105E64">
            <w:pPr>
              <w:jc w:val="left"/>
            </w:pPr>
            <w:r>
              <w:t>填写日期</w:t>
            </w:r>
          </w:p>
        </w:tc>
        <w:tc>
          <w:p w14:paraId="1B9FB0F0">
            <w:pPr>
              <w:jc w:val="left"/>
            </w:pPr>
            <w:r>
              <w:t>2026年 月 日</w:t>
            </w:r>
          </w:p>
        </w:tc>
      </w:tr>
      <w:tr w14:paraId="6AFA80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75AFF5C8">
            <w:pPr>
              <w:jc w:val="left"/>
            </w:pPr>
            <w:r>
              <w:t>合规声明</w:t>
            </w:r>
          </w:p>
        </w:tc>
        <w:tc>
          <w:p w14:paraId="289FACAE">
            <w:pPr>
              <w:jc w:val="left"/>
            </w:pPr>
            <w:r>
              <w:t>本作品所有内容真实原创，无抄袭、无数据造假，符合大赛参赛规则与国家相关法律法规；所用数据均来自权威开源匿名数据集，符合学术研究与参赛使用规范；大模型使用已按要求完整披露，生成内容严格遵循医疗合规要求，不构成医疗诊断建议</w:t>
            </w:r>
          </w:p>
        </w:tc>
      </w:tr>
    </w:tbl>
    <w:p w14:paraId="7FBA580D">
      <w:pPr>
        <w:spacing w:before="240"/>
      </w:pPr>
      <w:r>
        <w:t xml:space="preserve"> </w:t>
      </w:r>
    </w:p>
    <w:p w14:paraId="7B6802BB">
      <w:pPr>
        <w:pBdr>
          <w:bottom w:val="single" w:color="auto" w:sz="6" w:space="1"/>
        </w:pBdr>
        <w:spacing w:after="120"/>
      </w:pPr>
    </w:p>
    <w:p w14:paraId="66763D1C">
      <w:pPr>
        <w:spacing w:after="200"/>
      </w:pPr>
      <w:r>
        <w:t xml:space="preserve"> </w:t>
      </w:r>
    </w:p>
    <w:p w14:paraId="404C31E9">
      <w:pPr>
        <w:pStyle w:val="3"/>
        <w:snapToGrid/>
        <w:spacing w:beforeAutospacing="0" w:afterAutospacing="0" w:line="560" w:lineRule="exact"/>
        <w:ind w:left="0" w:leftChars="0" w:right="0" w:rightChars="0" w:firstLine="480" w:firstLineChars="200"/>
        <w:jc w:val="left"/>
        <w:rPr>
          <w:color w:val="auto"/>
        </w:rPr>
      </w:pPr>
      <w:r>
        <w:rPr>
          <w:rFonts w:ascii="仿宋" w:eastAsia="仿宋"/>
          <w:b w:val="0"/>
          <w:i w:val="0"/>
          <w:color w:val="auto"/>
          <w:sz w:val="24"/>
        </w:rPr>
        <w:t>▶ 摘要（评审核心第一眼看点，300-500字，必填，已适配核心调整）</w:t>
      </w:r>
    </w:p>
    <w:p w14:paraId="53712ECA">
      <w:pPr>
        <w:snapToGrid/>
        <w:spacing w:beforeAutospacing="0" w:afterAutospacing="0" w:line="560" w:lineRule="exact"/>
        <w:ind w:left="0" w:leftChars="0" w:right="0" w:rightChars="0" w:firstLine="480" w:firstLineChars="200"/>
        <w:jc w:val="left"/>
      </w:pPr>
      <w:r>
        <w:rPr>
          <w:rFonts w:ascii="仿宋" w:eastAsia="仿宋"/>
          <w:b w:val="0"/>
          <w:i w:val="0"/>
          <w:sz w:val="24"/>
        </w:rPr>
        <w:t>【填写规范】一句话讲清「临床痛点→数据来源→核心方法→6模型架构→个性化方案→部署方式→量化成果→应用价值」，必须包含量化指标，杜绝空泛。</w:t>
      </w:r>
    </w:p>
    <w:p w14:paraId="385DF93A">
      <w:pPr>
        <w:snapToGrid/>
        <w:spacing w:beforeAutospacing="0" w:afterAutospacing="0" w:line="560" w:lineRule="exact"/>
        <w:ind w:left="0" w:leftChars="0" w:right="0" w:rightChars="0" w:firstLine="480" w:firstLineChars="200"/>
        <w:jc w:val="left"/>
      </w:pPr>
      <w:r>
        <w:rPr>
          <w:rFonts w:ascii="仿宋" w:eastAsia="仿宋"/>
          <w:b w:val="0"/>
          <w:i w:val="0"/>
          <w:sz w:val="24"/>
        </w:rPr>
        <w:t xml:space="preserve"> </w:t>
      </w:r>
    </w:p>
    <w:p w14:paraId="496954F3">
      <w:pPr>
        <w:snapToGrid/>
        <w:spacing w:beforeAutospacing="0" w:afterAutospacing="0" w:line="560" w:lineRule="exact"/>
        <w:ind w:left="0" w:leftChars="0" w:right="0" w:rightChars="0" w:firstLine="480" w:firstLineChars="200"/>
        <w:jc w:val="left"/>
      </w:pPr>
      <w:r>
        <w:rPr>
          <w:rFonts w:ascii="仿宋" w:eastAsia="仿宋"/>
          <w:b w:val="0"/>
          <w:i w:val="0"/>
          <w:sz w:val="24"/>
        </w:rPr>
        <w:t>【适配本作品示例框架】</w:t>
      </w:r>
    </w:p>
    <w:p w14:paraId="5E1873F7">
      <w:pPr>
        <w:snapToGrid/>
        <w:spacing w:beforeAutospacing="0" w:afterAutospacing="0" w:line="560" w:lineRule="exact"/>
        <w:ind w:left="0" w:leftChars="0" w:right="0" w:rightChars="0" w:firstLine="480" w:firstLineChars="200"/>
        <w:jc w:val="left"/>
      </w:pPr>
      <w:r>
        <w:rPr>
          <w:rFonts w:ascii="仿宋" w:eastAsia="仿宋"/>
          <w:b w:val="0"/>
          <w:i w:val="0"/>
          <w:sz w:val="24"/>
        </w:rPr>
        <w:t xml:space="preserve"> </w:t>
      </w:r>
    </w:p>
    <w:p w14:paraId="26CBB97B">
      <w:pPr>
        <w:snapToGrid/>
        <w:spacing w:beforeAutospacing="0" w:afterAutospacing="0" w:line="560" w:lineRule="exact"/>
        <w:ind w:left="0" w:leftChars="0" w:right="0" w:rightChars="0" w:firstLine="480" w:firstLineChars="200"/>
        <w:jc w:val="left"/>
      </w:pPr>
      <w:r>
        <w:rPr>
          <w:rFonts w:ascii="仿宋" w:eastAsia="仿宋"/>
          <w:b w:val="0"/>
          <w:i w:val="0"/>
          <w:sz w:val="24"/>
        </w:rPr>
        <w:t>针对我国肝病、2型糖尿病、脑卒中三类慢病早筛窗口期短、单模态数据漏检率高、黑箱模型落地难、健康管理闭环缺失的核心痛点，本作品构建了「三元智鉴」多模态慢病协同预测与健康管理平台。作品基于</w:t>
      </w:r>
      <w:r>
        <w:rPr>
          <w:rFonts w:ascii="仿宋" w:eastAsia="仿宋"/>
          <w:b w:val="0"/>
          <w:bCs/>
          <w:i w:val="0"/>
          <w:sz w:val="24"/>
        </w:rPr>
        <w:t>权威开源匿名医疗数据集</w:t>
      </w:r>
      <w:r>
        <w:rPr>
          <w:rFonts w:ascii="仿宋" w:eastAsia="仿宋"/>
          <w:b w:val="0"/>
          <w:i w:val="0"/>
          <w:sz w:val="24"/>
        </w:rPr>
        <w:t>，分别构建3个结构化数据单病预测模型与3个影像数据单病预测模型，通过双模态加权融合协同决策机制实现异构数据优势互补；配套健康管理模块，实现慢病科普文章推荐、周边医疗机构精准推荐，及</w:t>
      </w:r>
      <w:r>
        <w:rPr>
          <w:rFonts w:ascii="仿宋" w:eastAsia="仿宋"/>
          <w:b w:val="0"/>
          <w:bCs/>
          <w:i w:val="0"/>
          <w:sz w:val="24"/>
        </w:rPr>
        <w:t>基于豆包大模型的个性化健康干预方案生成</w:t>
      </w:r>
      <w:r>
        <w:rPr>
          <w:rFonts w:ascii="仿宋" w:eastAsia="仿宋"/>
          <w:b w:val="0"/>
          <w:i w:val="0"/>
          <w:sz w:val="24"/>
        </w:rPr>
        <w:t>。测试结果显示，本作品双模态协同预测平均AUC达XX，较单模态基线模型提升XX%；平台基于</w:t>
      </w:r>
      <w:r>
        <w:rPr>
          <w:rFonts w:ascii="仿宋" w:eastAsia="仿宋"/>
          <w:b w:val="0"/>
          <w:bCs/>
          <w:i w:val="0"/>
          <w:sz w:val="24"/>
        </w:rPr>
        <w:t>3节点本地物理集群</w:t>
      </w:r>
      <w:r>
        <w:rPr>
          <w:rFonts w:ascii="仿宋" w:eastAsia="仿宋"/>
          <w:b w:val="0"/>
          <w:i w:val="0"/>
          <w:sz w:val="24"/>
        </w:rPr>
        <w:t>完成生产级部署，实现了「多模态数据录入-双模态风险预测-危险因素溯源-个性化健康管理」全流程闭环。本作品可为普通用户、基层医疗机构提供低门槛慢病早筛工具，具备较强的临床应用价值与推广前景。</w:t>
      </w:r>
    </w:p>
    <w:p w14:paraId="2CF2B4A4">
      <w:pPr>
        <w:snapToGrid/>
        <w:spacing w:beforeAutospacing="0" w:afterAutospacing="0" w:line="560" w:lineRule="exact"/>
        <w:ind w:left="0" w:leftChars="0" w:right="0" w:rightChars="0" w:firstLine="480" w:firstLineChars="200"/>
        <w:jc w:val="left"/>
      </w:pPr>
      <w:r>
        <w:rPr>
          <w:rFonts w:ascii="仿宋" w:eastAsia="仿宋"/>
          <w:b w:val="0"/>
          <w:i w:val="0"/>
          <w:sz w:val="24"/>
        </w:rPr>
        <w:t xml:space="preserve"> </w:t>
      </w:r>
    </w:p>
    <w:p w14:paraId="4919499A">
      <w:pPr>
        <w:rPr>
          <w:rFonts w:ascii="仿宋" w:eastAsia="仿宋"/>
          <w:b w:val="0"/>
          <w:i w:val="0"/>
          <w:sz w:val="24"/>
        </w:rPr>
      </w:pPr>
      <w:r>
        <w:rPr>
          <w:rFonts w:ascii="仿宋" w:eastAsia="仿宋"/>
          <w:b w:val="0"/>
          <w:i w:val="0"/>
          <w:sz w:val="24"/>
        </w:rPr>
        <w:br w:type="page"/>
      </w:r>
    </w:p>
    <w:p w14:paraId="3EF7629C">
      <w:pPr>
        <w:pStyle w:val="3"/>
        <w:snapToGrid/>
        <w:spacing w:beforeAutospacing="0" w:afterAutospacing="0" w:line="560" w:lineRule="exact"/>
        <w:ind w:left="0" w:leftChars="0" w:right="0" w:rightChars="0" w:firstLine="480" w:firstLineChars="200"/>
        <w:jc w:val="left"/>
        <w:rPr>
          <w:color w:val="auto"/>
        </w:rPr>
      </w:pPr>
      <w:r>
        <w:rPr>
          <w:rFonts w:ascii="仿宋" w:eastAsia="仿宋"/>
          <w:b w:val="0"/>
          <w:i w:val="0"/>
          <w:color w:val="auto"/>
          <w:sz w:val="24"/>
        </w:rPr>
        <w:t>▶ 目 录（自动生成，严格对应正文章节序号）</w:t>
      </w:r>
    </w:p>
    <w:p w14:paraId="036D3E6B">
      <w:pPr>
        <w:snapToGrid/>
        <w:spacing w:beforeAutospacing="0" w:afterAutospacing="0" w:line="560" w:lineRule="exact"/>
        <w:ind w:left="0" w:leftChars="0" w:right="0" w:rightChars="0" w:firstLine="480" w:firstLineChars="200"/>
        <w:jc w:val="left"/>
      </w:pPr>
      <w:r>
        <w:rPr>
          <w:rFonts w:ascii="仿宋" w:eastAsia="仿宋"/>
          <w:b w:val="0"/>
          <w:i w:val="0"/>
          <w:sz w:val="24"/>
        </w:rPr>
        <w:t>第1章 作品概述</w:t>
      </w:r>
    </w:p>
    <w:p w14:paraId="6C519B1A">
      <w:pPr>
        <w:snapToGrid/>
        <w:spacing w:beforeAutospacing="0" w:afterAutospacing="0" w:line="560" w:lineRule="exact"/>
        <w:ind w:left="0" w:leftChars="0" w:right="0" w:rightChars="0" w:firstLine="480" w:firstLineChars="200"/>
        <w:jc w:val="left"/>
      </w:pPr>
      <w:r>
        <w:rPr>
          <w:rFonts w:ascii="仿宋" w:eastAsia="仿宋"/>
          <w:b w:val="0"/>
          <w:i w:val="0"/>
          <w:sz w:val="24"/>
        </w:rPr>
        <w:t xml:space="preserve"> </w:t>
      </w:r>
    </w:p>
    <w:p w14:paraId="452EF35F">
      <w:pPr>
        <w:snapToGrid/>
        <w:spacing w:beforeAutospacing="0" w:afterAutospacing="0" w:line="560" w:lineRule="exact"/>
        <w:ind w:left="0" w:leftChars="0" w:right="0" w:rightChars="0" w:firstLine="480" w:firstLineChars="200"/>
        <w:jc w:val="left"/>
      </w:pPr>
      <w:r>
        <w:rPr>
          <w:rFonts w:ascii="仿宋" w:eastAsia="仿宋"/>
          <w:b w:val="0"/>
          <w:i w:val="0"/>
          <w:sz w:val="24"/>
        </w:rPr>
        <w:t>第2章 问题与需求分析</w:t>
      </w:r>
    </w:p>
    <w:p w14:paraId="3F10996F">
      <w:pPr>
        <w:snapToGrid/>
        <w:spacing w:beforeAutospacing="0" w:afterAutospacing="0" w:line="560" w:lineRule="exact"/>
        <w:ind w:left="0" w:leftChars="0" w:right="0" w:rightChars="0" w:firstLine="480" w:firstLineChars="200"/>
        <w:jc w:val="left"/>
      </w:pPr>
      <w:r>
        <w:rPr>
          <w:rFonts w:ascii="仿宋" w:eastAsia="仿宋"/>
          <w:b w:val="0"/>
          <w:i w:val="0"/>
          <w:sz w:val="24"/>
        </w:rPr>
        <w:t xml:space="preserve"> </w:t>
      </w:r>
    </w:p>
    <w:p w14:paraId="15C4C688">
      <w:pPr>
        <w:snapToGrid/>
        <w:spacing w:beforeAutospacing="0" w:afterAutospacing="0" w:line="560" w:lineRule="exact"/>
        <w:ind w:left="0" w:leftChars="0" w:right="0" w:rightChars="0" w:firstLine="480" w:firstLineChars="200"/>
        <w:jc w:val="left"/>
      </w:pPr>
      <w:r>
        <w:rPr>
          <w:rFonts w:ascii="仿宋" w:eastAsia="仿宋"/>
          <w:b w:val="0"/>
          <w:i w:val="0"/>
          <w:sz w:val="24"/>
        </w:rPr>
        <w:t>第3章 数据集构建与数据预处理</w:t>
      </w:r>
    </w:p>
    <w:p w14:paraId="676CC5D1">
      <w:pPr>
        <w:snapToGrid/>
        <w:spacing w:beforeAutospacing="0" w:afterAutospacing="0" w:line="560" w:lineRule="exact"/>
        <w:ind w:left="0" w:leftChars="0" w:right="0" w:rightChars="0" w:firstLine="480" w:firstLineChars="200"/>
        <w:jc w:val="left"/>
      </w:pPr>
      <w:r>
        <w:rPr>
          <w:rFonts w:ascii="仿宋" w:eastAsia="仿宋"/>
          <w:b w:val="0"/>
          <w:i w:val="0"/>
          <w:sz w:val="24"/>
        </w:rPr>
        <w:t xml:space="preserve"> </w:t>
      </w:r>
    </w:p>
    <w:p w14:paraId="4641142E">
      <w:pPr>
        <w:snapToGrid/>
        <w:spacing w:beforeAutospacing="0" w:afterAutospacing="0" w:line="560" w:lineRule="exact"/>
        <w:ind w:left="0" w:leftChars="0" w:right="0" w:rightChars="0" w:firstLine="480" w:firstLineChars="200"/>
        <w:jc w:val="left"/>
      </w:pPr>
      <w:r>
        <w:rPr>
          <w:rFonts w:ascii="仿宋" w:eastAsia="仿宋"/>
          <w:b w:val="0"/>
          <w:i w:val="0"/>
          <w:sz w:val="24"/>
        </w:rPr>
        <w:t>第4章 核心技术方案</w:t>
      </w:r>
    </w:p>
    <w:p w14:paraId="201E5C58">
      <w:pPr>
        <w:snapToGrid/>
        <w:spacing w:beforeAutospacing="0" w:afterAutospacing="0" w:line="560" w:lineRule="exact"/>
        <w:ind w:left="0" w:leftChars="0" w:right="0" w:rightChars="0" w:firstLine="480" w:firstLineChars="200"/>
        <w:jc w:val="left"/>
      </w:pPr>
      <w:r>
        <w:rPr>
          <w:rFonts w:ascii="仿宋" w:eastAsia="仿宋"/>
          <w:b w:val="0"/>
          <w:i w:val="0"/>
          <w:sz w:val="24"/>
        </w:rPr>
        <w:t xml:space="preserve"> </w:t>
      </w:r>
    </w:p>
    <w:p w14:paraId="67D9105E">
      <w:pPr>
        <w:snapToGrid/>
        <w:spacing w:beforeAutospacing="0" w:afterAutospacing="0" w:line="560" w:lineRule="exact"/>
        <w:ind w:left="0" w:leftChars="0" w:right="0" w:rightChars="0" w:firstLine="480" w:firstLineChars="200"/>
        <w:jc w:val="left"/>
      </w:pPr>
      <w:r>
        <w:rPr>
          <w:rFonts w:ascii="仿宋" w:eastAsia="仿宋"/>
          <w:b w:val="0"/>
          <w:i w:val="0"/>
          <w:sz w:val="24"/>
        </w:rPr>
        <w:t>第5章 系统工程实现</w:t>
      </w:r>
    </w:p>
    <w:p>
      <w:r>
        <w:t>5.1 系统工程架构与技术栈</w:t>
      </w:r>
    </w:p>
    <w:p>
      <w:r>
        <w:t>本项目采用前后端分离架构。前端为 React + TypeScript + Tailwind CSS（Vite 构建），后端为 FastAPI + SQLAlchemy + MySQL。核心能力围绕“肝病、糖尿病、脑卒中”三病风险评估与健康干预展开。</w:t>
      </w:r>
    </w:p>
    <w:p>
      <w:r>
        <w:t>后端以 REST API 提供用户、问卷、风险预测、健康指南、医院推荐、图像上传与读取等服务；前端实现用户端与管理端的业务流程页面，完成数据采集、风险展示、推荐解释与干预交互。</w:t>
      </w:r>
    </w:p>
    <w:p>
      <w:r>
        <w:t>5.2 后端核心实现（FastAPI）</w:t>
      </w:r>
    </w:p>
    <w:p>
      <w:r>
        <w:t>（1）统一预测入口：后端通过 risk_engine.predict_triple 计算三病风险，输出概率、风险等级、分数与可解释因素。风险分层阈值按当前项目配置：&lt;30% 低风险、[30%,60%) 中风险、≥60% 高风险。</w:t>
      </w:r>
    </w:p>
    <w:p>
      <w:r>
        <w:t>（2）结构化与图像融合：针对三病分别支持结构化数据概率与图像概率融合，最终概率采用结构化:图像=6:4 的加权策略；若仅存在单一路径数据，则直接采用该路概率。</w:t>
      </w:r>
    </w:p>
    <w:p>
      <w:r>
        <w:t>（3）健康指南推荐：推荐逻辑采用规则引擎而非纯排序打分。三病均低风险时，优先推送“认知类+饮食/运动类”；存在中高风险时，按病种与风险等级精准匹配，并对标题含病种关键词的文章前置。</w:t>
      </w:r>
    </w:p>
    <w:p>
      <w:r>
        <w:t>（4）医院推荐：基于前端定位坐标与医院经纬度，前端按 Haversine 距离计算并排序，实现“就近就医推荐”。</w:t>
      </w:r>
    </w:p>
    <w:p>
      <w:r>
        <w:t>5.3 图像数据链路实现（上传-落盘-入库-预览-删除）</w:t>
      </w:r>
    </w:p>
    <w:p>
      <w:r>
        <w:t>项目在 user_info 表新增 liver_image_path、diabetes_image_path、stroke_image_path 三个字段。图像上传后由后端落盘并把绝对路径写入对应字段；提供元数据接口与文件读取接口用于前端预览；删除时同步清理数据库路径与本地文件。</w:t>
      </w:r>
    </w:p>
    <w:p>
      <w:r>
        <w:t>该实现已支持“再次进入页面可回显已上传图像、可覆盖修改、可删除重传”，满足持续管理场景。</w:t>
      </w:r>
    </w:p>
    <w:p>
      <w:r>
        <w:t>5.4 前端核心实现（React）</w:t>
      </w:r>
    </w:p>
    <w:p>
      <w:r>
        <w:t>（1）风险与干预页面联动：风险页展示三病概率、风险等级与综合分；干预页展示“疾病风险程度”、个性化指南与医院推荐。</w:t>
      </w:r>
    </w:p>
    <w:p>
      <w:r>
        <w:t>（2）健康指南弹窗：点击文章卡片可打开全文弹窗，支持正文分段与图片占位符替换，提升可读性与可解释性。</w:t>
      </w:r>
    </w:p>
    <w:p>
      <w:r>
        <w:t>（3）数据采集与上传交互：DataCollection 页面完成问卷采集与分病种图像上传；上传组件支持本地文件预览、远端已上传内容回显、下载/打开、删除等完整交互。</w:t>
      </w:r>
    </w:p>
    <w:p>
      <w:r>
        <w:t>5.5 数据与脚本工程化</w:t>
      </w:r>
    </w:p>
    <w:p>
      <w:r>
        <w:t>项目提供脚本完成外部 CSV 到 user_info 字段映射、批量创建用户与健康数据初始化，便于演示环境快速构建与复现实验。数据库初始化阶段包含 user_info 新增字段的自动检查与补齐逻辑，降低部署门槛。</w:t>
      </w:r>
    </w:p>
    <w:p>
      <w:r>
        <w:t>5.6 部署与运行方式（当前项目真实状态）</w:t>
      </w:r>
    </w:p>
    <w:p>
      <w:r>
        <w:t>当前版本以本地开发/演示部署为主：后端服务、前端服务与数据库可在同一环境启动。工程中已具备模块化接口、脚本化数据初始化和可持续扩展的服务边界，后续可平滑扩展到容器化与多节点部署。</w:t>
      </w:r>
    </w:p>
    <w:p w14:paraId="5AC55A1B">
      <w:pPr>
        <w:snapToGrid/>
        <w:spacing w:beforeAutospacing="0" w:afterAutospacing="0" w:line="560" w:lineRule="exact"/>
        <w:ind w:left="0" w:leftChars="0" w:right="0" w:rightChars="0" w:firstLine="480" w:firstLineChars="200"/>
        <w:jc w:val="left"/>
      </w:pPr>
      <w:r>
        <w:rPr>
          <w:rFonts w:ascii="仿宋" w:eastAsia="仿宋"/>
          <w:b w:val="0"/>
          <w:i w:val="0"/>
          <w:sz w:val="24"/>
        </w:rPr>
        <w:t>第6章 测试与效果验证</w:t>
      </w:r>
    </w:p>
    <w:p>
      <w:r>
        <w:t>6.1 测试范围与原则</w:t>
      </w:r>
    </w:p>
    <w:p>
      <w:r>
        <w:t>本项目测试覆盖“模型预测链路、前后端核心业务链路、图像上传与回显链路、推荐逻辑链路”。测试遵循“功能可用、逻辑正确、结果可解释、回归不破坏”四项原则，避免仅展示静态界面。</w:t>
      </w:r>
    </w:p>
    <w:p>
      <w:r>
        <w:t>6.2 风险预测与融合逻辑验证</w:t>
      </w:r>
    </w:p>
    <w:p>
      <w:r>
        <w:t>（1）结构化预测验证：使用问卷数据驱动三病风险预测，检查概率输出、风险分层与因素解释是否一致。</w:t>
      </w:r>
    </w:p>
    <w:p>
      <w:r>
        <w:t>（2）融合规则验证：重点验证“结构化:图像=6:4”规则。分别覆盖三类场景：双路都存在、仅结构化存在、仅图像存在，确保最终概率符合业务定义。</w:t>
      </w:r>
    </w:p>
    <w:p>
      <w:r>
        <w:t>（3）阈值回归验证：针对30%与60%分界值做边界检查，保证低/中/高风险标签判定稳定。</w:t>
      </w:r>
    </w:p>
    <w:p>
      <w:r>
        <w:t>6.3 个性化推荐与干预功能验证</w:t>
      </w:r>
    </w:p>
    <w:p>
      <w:r>
        <w:t>（1）健康指南推荐：验证“全低风险推认知+饮食运动；中高风险按病种+等级精准匹配；标题关键词前置”三条核心规则。</w:t>
      </w:r>
    </w:p>
    <w:p>
      <w:r>
        <w:t>（2）文章阅读体验：验证点击文章卡片后弹窗可正常展示完整正文，段落切分与图片替换生效。</w:t>
      </w:r>
    </w:p>
    <w:p>
      <w:r>
        <w:t>（3）医院推荐：验证定位授权、距离计算、按距离排序与异常状态提示（未授权/失败）的处理。</w:t>
      </w:r>
    </w:p>
    <w:p>
      <w:r>
        <w:t>6.4 图像上传闭环验证</w:t>
      </w:r>
    </w:p>
    <w:p>
      <w:r>
        <w:t>（1）上传后入库：验证文件落盘成功，user_info 对应 image_path 字段写入正确。</w:t>
      </w:r>
    </w:p>
    <w:p>
      <w:r>
        <w:t>（2）再次进入回显：验证已上传图像可通过元数据与文件接口回显。</w:t>
      </w:r>
    </w:p>
    <w:p>
      <w:r>
        <w:t>（3）修改与删除：验证覆盖上传后路径更新、删除后数据库清空与文件移除。</w:t>
      </w:r>
    </w:p>
    <w:p>
      <w:r>
        <w:t>（4）稳定性修复回归：针对历史“影像上传点击后白屏”问题完成回归验证，确保页面可正常进入与操作。</w:t>
      </w:r>
    </w:p>
    <w:p>
      <w:r>
        <w:t>6.5 工程质量与运行验证</w:t>
      </w:r>
    </w:p>
    <w:p>
      <w:r>
        <w:t>前端执行 TypeScript 静态检查（如 npx tsc --noEmit）与关键页面流程自测；后端对核心模块进行语法与接口级验证，确保改动后服务可启动、接口响应结构稳定。</w:t>
      </w:r>
    </w:p>
    <w:p>
      <w:r>
        <w:t>6.6 测试结论（基于当前版本）</w:t>
      </w:r>
    </w:p>
    <w:p>
      <w:r>
        <w:t>当前项目已实现从“数据采集-风险预测-图像融合-个性化推荐-干预展示”的端到端闭环。核心业务逻辑、图像上传全链路与推荐策略均可运行，满足课程与竞赛场景下的系统演示和持续迭代需求。后续将进一步补充自动化测试与容器化性能压测，提升工程化成熟度。</w:t>
      </w:r>
    </w:p>
    <w:p w14:paraId="03F44029">
      <w:pPr>
        <w:snapToGrid/>
        <w:spacing w:beforeAutospacing="0" w:afterAutospacing="0" w:line="560" w:lineRule="exact"/>
        <w:ind w:left="0" w:leftChars="0" w:right="0" w:rightChars="0" w:firstLine="480" w:firstLineChars="200"/>
        <w:jc w:val="left"/>
      </w:pPr>
      <w:r>
        <w:rPr>
          <w:rFonts w:ascii="仿宋" w:eastAsia="仿宋"/>
          <w:b w:val="0"/>
          <w:i w:val="0"/>
          <w:sz w:val="24"/>
        </w:rPr>
        <w:t>第7章 作品特色与创新点</w:t>
      </w:r>
    </w:p>
    <w:p w14:paraId="4136D5BE">
      <w:pPr>
        <w:snapToGrid/>
        <w:spacing w:beforeAutospacing="0" w:afterAutospacing="0" w:line="560" w:lineRule="exact"/>
        <w:ind w:left="0" w:leftChars="0" w:right="0" w:rightChars="0" w:firstLine="480" w:firstLineChars="200"/>
        <w:jc w:val="left"/>
      </w:pPr>
      <w:r>
        <w:rPr>
          <w:rFonts w:ascii="仿宋" w:eastAsia="仿宋"/>
          <w:b w:val="0"/>
          <w:i w:val="0"/>
          <w:sz w:val="24"/>
        </w:rPr>
        <w:t xml:space="preserve"> </w:t>
      </w:r>
    </w:p>
    <w:p w14:paraId="3885D154">
      <w:pPr>
        <w:snapToGrid/>
        <w:spacing w:beforeAutospacing="0" w:afterAutospacing="0" w:line="560" w:lineRule="exact"/>
        <w:ind w:left="0" w:leftChars="0" w:right="0" w:rightChars="0" w:firstLine="480" w:firstLineChars="200"/>
        <w:jc w:val="left"/>
      </w:pPr>
      <w:r>
        <w:rPr>
          <w:rFonts w:ascii="仿宋" w:eastAsia="仿宋"/>
          <w:b w:val="0"/>
          <w:i w:val="0"/>
          <w:sz w:val="24"/>
        </w:rPr>
        <w:t>第8章 应用推广与价值分析</w:t>
      </w:r>
    </w:p>
    <w:p w14:paraId="5306B385">
      <w:pPr>
        <w:snapToGrid/>
        <w:spacing w:beforeAutospacing="0" w:afterAutospacing="0" w:line="560" w:lineRule="exact"/>
        <w:ind w:left="0" w:leftChars="0" w:right="0" w:rightChars="0" w:firstLine="480" w:firstLineChars="200"/>
        <w:jc w:val="left"/>
      </w:pPr>
      <w:r>
        <w:rPr>
          <w:rFonts w:ascii="仿宋" w:eastAsia="仿宋"/>
          <w:b w:val="0"/>
          <w:i w:val="0"/>
          <w:sz w:val="24"/>
        </w:rPr>
        <w:t xml:space="preserve"> </w:t>
      </w:r>
    </w:p>
    <w:p w14:paraId="0800FFE0">
      <w:pPr>
        <w:snapToGrid/>
        <w:spacing w:beforeAutospacing="0" w:afterAutospacing="0" w:line="560" w:lineRule="exact"/>
        <w:ind w:left="0" w:leftChars="0" w:right="0" w:rightChars="0" w:firstLine="480" w:firstLineChars="200"/>
        <w:jc w:val="left"/>
      </w:pPr>
      <w:r>
        <w:rPr>
          <w:rFonts w:ascii="仿宋" w:eastAsia="仿宋"/>
          <w:b w:val="0"/>
          <w:i w:val="0"/>
          <w:sz w:val="24"/>
        </w:rPr>
        <w:t>第9章 总结与展望</w:t>
      </w:r>
    </w:p>
    <w:p w14:paraId="500B402A">
      <w:pPr>
        <w:spacing w:after="200"/>
      </w:pPr>
      <w:r>
        <w:t xml:space="preserve"> </w:t>
      </w:r>
    </w:p>
    <w:p w14:paraId="63D9BA87">
      <w:pPr>
        <w:snapToGrid/>
        <w:spacing w:before="200" w:beforeAutospacing="0" w:after="100" w:afterAutospacing="0" w:line="240" w:lineRule="auto"/>
        <w:ind w:left="0" w:leftChars="0" w:right="0" w:rightChars="0" w:firstLine="0" w:firstLineChars="0"/>
        <w:jc w:val="left"/>
        <w:rPr>
          <w:rFonts w:ascii="黑体" w:eastAsia="黑体"/>
          <w:b w:val="0"/>
          <w:sz w:val="32"/>
        </w:rPr>
      </w:pPr>
      <w:r>
        <w:rPr>
          <w:rFonts w:ascii="黑体" w:eastAsia="黑体"/>
          <w:b w:val="0"/>
          <w:sz w:val="32"/>
        </w:rPr>
        <w:t>参考文献</w:t>
      </w:r>
    </w:p>
    <w:p w14:paraId="43DA4E7B">
      <w:pPr>
        <w:spacing w:after="200"/>
      </w:pPr>
      <w:r>
        <w:t xml:space="preserve"> </w:t>
      </w:r>
    </w:p>
    <w:p w14:paraId="645231D0">
      <w:pPr>
        <w:spacing w:after="120"/>
        <w:jc w:val="left"/>
      </w:pPr>
      <w:r>
        <w:t>附录</w:t>
      </w:r>
    </w:p>
    <w:p w14:paraId="59FBDCC2">
      <w:pPr>
        <w:spacing w:after="200"/>
      </w:pPr>
      <w:r>
        <w:t xml:space="preserve"> </w:t>
      </w:r>
    </w:p>
    <w:p w14:paraId="26C441B5">
      <w:r>
        <w:br w:type="page"/>
      </w:r>
    </w:p>
    <w:p w14:paraId="01268152">
      <w:pPr>
        <w:pStyle w:val="2"/>
        <w:snapToGrid/>
        <w:spacing w:before="200" w:beforeAutospacing="0" w:after="100" w:afterAutospacing="0" w:line="240" w:lineRule="auto"/>
        <w:ind w:left="0" w:leftChars="0" w:right="0" w:rightChars="0" w:firstLine="0" w:firstLineChars="0"/>
        <w:jc w:val="left"/>
        <w:outlineLvl w:val="0"/>
        <w:rPr>
          <w:rFonts w:ascii="黑体" w:eastAsia="黑体"/>
          <w:b w:val="0"/>
          <w:color w:val="auto"/>
          <w:sz w:val="32"/>
        </w:rPr>
      </w:pPr>
      <w:r>
        <w:rPr>
          <w:rFonts w:ascii="黑体" w:eastAsia="黑体"/>
          <w:b w:val="0"/>
          <w:color w:val="auto"/>
          <w:sz w:val="32"/>
        </w:rPr>
        <w:t>第1章 作品概述（1页内完成，必填，评审快速读懂作品全貌）</w:t>
      </w:r>
    </w:p>
    <w:p w14:paraId="6B47138E">
      <w:p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【填写规范】拒绝冗余细节，只讲核心信息，让评审1分钟明确你的作品是什么、解决了什么问题、有什么核心价值。</w:t>
      </w:r>
    </w:p>
    <w:p w14:paraId="17DD167A">
      <w:pPr>
        <w:snapToGrid/>
        <w:spacing w:beforeAutospacing="0" w:afterAutospacing="0" w:line="560" w:lineRule="exact"/>
        <w:ind w:left="0" w:leftChars="0" w:right="0" w:rightChars="0" w:firstLine="482" w:firstLineChars="0"/>
        <w:jc w:val="left"/>
        <w:rPr>
          <w:rFonts w:ascii="仿宋" w:eastAsia="仿宋"/>
          <w:sz w:val="24"/>
        </w:rPr>
      </w:pPr>
    </w:p>
    <w:p w14:paraId="7B81E414">
      <w:pPr>
        <w:pStyle w:val="3"/>
        <w:snapToGrid/>
        <w:spacing w:before="200" w:beforeAutospacing="0" w:after="100" w:afterAutospacing="0" w:line="240" w:lineRule="auto"/>
        <w:ind w:left="0" w:leftChars="0" w:right="0" w:rightChars="0" w:firstLine="0" w:firstLineChars="0"/>
        <w:jc w:val="left"/>
        <w:outlineLvl w:val="1"/>
        <w:rPr>
          <w:rFonts w:ascii="楷体" w:eastAsia="楷体"/>
          <w:b w:val="0"/>
          <w:color w:val="auto"/>
          <w:sz w:val="32"/>
        </w:rPr>
      </w:pPr>
      <w:r>
        <w:rPr>
          <w:rFonts w:ascii="楷体" w:eastAsia="楷体"/>
          <w:b w:val="0"/>
          <w:color w:val="auto"/>
          <w:sz w:val="32"/>
        </w:rPr>
        <w:t>1.1 研究背景与意义</w:t>
      </w:r>
    </w:p>
    <w:p w14:paraId="6C7E4258">
      <w:p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聚焦3个核心要点：① 三类慢病的国内流行病学数据（发病率、共病率、致残率，引用权威文献）；② 早筛是降低慢病疾病负担的核心手段，现有早筛与健康管理方案的核心局限；③ 本作品对助力健康中国战略、提升基层慢病防控能力、完善用户全周期健康管理的意义。</w:t>
      </w:r>
    </w:p>
    <w:p w14:paraId="4CA4FBC8">
      <w:pPr>
        <w:snapToGrid/>
        <w:spacing w:beforeAutospacing="0" w:afterAutospacing="0" w:line="560" w:lineRule="exact"/>
        <w:ind w:left="0" w:leftChars="0" w:right="0" w:rightChars="0" w:firstLine="482" w:firstLineChars="0"/>
        <w:jc w:val="left"/>
        <w:rPr>
          <w:rFonts w:ascii="仿宋" w:eastAsia="仿宋"/>
          <w:sz w:val="24"/>
        </w:rPr>
      </w:pPr>
    </w:p>
    <w:p w14:paraId="5AF67902">
      <w:pPr>
        <w:pStyle w:val="3"/>
        <w:snapToGrid/>
        <w:spacing w:before="200" w:beforeAutospacing="0" w:after="100" w:afterAutospacing="0" w:line="240" w:lineRule="auto"/>
        <w:ind w:left="0" w:leftChars="0" w:right="0" w:rightChars="0" w:firstLine="0" w:firstLineChars="0"/>
        <w:jc w:val="left"/>
        <w:outlineLvl w:val="1"/>
        <w:rPr>
          <w:rFonts w:ascii="楷体" w:eastAsia="楷体"/>
          <w:b w:val="0"/>
          <w:color w:val="auto"/>
          <w:sz w:val="32"/>
        </w:rPr>
      </w:pPr>
      <w:r>
        <w:rPr>
          <w:rFonts w:ascii="楷体" w:eastAsia="楷体"/>
          <w:b w:val="0"/>
          <w:color w:val="auto"/>
          <w:sz w:val="32"/>
        </w:rPr>
        <w:t>1.2 作品核心目标</w:t>
      </w:r>
    </w:p>
    <w:p w14:paraId="13C2EF09">
      <w:p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明确2个可落地的核心目标：</w:t>
      </w:r>
    </w:p>
    <w:p w14:paraId="6B41925B">
      <w:pPr>
        <w:snapToGrid/>
        <w:spacing w:beforeAutospacing="0" w:afterAutospacing="0" w:line="560" w:lineRule="exact"/>
        <w:ind w:left="0" w:leftChars="0" w:right="0" w:rightChars="0" w:firstLine="482" w:firstLineChars="0"/>
        <w:jc w:val="left"/>
        <w:rPr>
          <w:rFonts w:ascii="仿宋" w:eastAsia="仿宋"/>
          <w:sz w:val="24"/>
        </w:rPr>
      </w:pPr>
    </w:p>
    <w:p w14:paraId="77683549">
      <w:p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1. 基于权威开源数据集，构建覆盖肝病、2型糖尿病、脑卒中三类慢病的「结构化+影像」双模态6模型预测体系，通过协同决策提升慢病早筛准确率，降低漏检率；</w:t>
      </w:r>
    </w:p>
    <w:p w14:paraId="6991DC3F">
      <w:p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2. 搭建可视化</w:t>
      </w:r>
      <w:bookmarkStart w:id="0" w:name="_GoBack"/>
      <w:bookmarkEnd w:id="0"/>
      <w:r>
        <w:rPr>
          <w:rFonts w:ascii="仿宋" w:eastAsia="仿宋"/>
          <w:sz w:val="24"/>
        </w:rPr>
        <w:t>、低门槛的全流程管理平台，实现慢病风险早筛-可解释溯源-多维度个性化健康管理的闭环，基于3节点集群实现稳定部署，适配基层医疗与居家健康管理场景。</w:t>
      </w:r>
    </w:p>
    <w:p w14:paraId="35193E46">
      <w:pPr>
        <w:snapToGrid/>
        <w:spacing w:beforeAutospacing="0" w:afterAutospacing="0" w:line="560" w:lineRule="exact"/>
        <w:ind w:left="0" w:leftChars="0" w:right="0" w:rightChars="0" w:firstLine="482" w:firstLineChars="0"/>
        <w:jc w:val="left"/>
        <w:rPr>
          <w:rFonts w:ascii="仿宋" w:eastAsia="仿宋"/>
          <w:sz w:val="24"/>
        </w:rPr>
      </w:pPr>
    </w:p>
    <w:p w14:paraId="519B083C">
      <w:pPr>
        <w:pStyle w:val="3"/>
        <w:snapToGrid/>
        <w:spacing w:before="200" w:beforeAutospacing="0" w:after="100" w:afterAutospacing="0" w:line="240" w:lineRule="auto"/>
        <w:ind w:left="0" w:leftChars="0" w:right="0" w:rightChars="0" w:firstLine="0" w:firstLineChars="0"/>
        <w:jc w:val="left"/>
        <w:outlineLvl w:val="1"/>
        <w:rPr>
          <w:rFonts w:ascii="楷体" w:eastAsia="楷体"/>
          <w:b w:val="0"/>
          <w:color w:val="auto"/>
          <w:sz w:val="32"/>
        </w:rPr>
      </w:pPr>
      <w:r>
        <w:rPr>
          <w:rFonts w:ascii="楷体" w:eastAsia="楷体"/>
          <w:b w:val="0"/>
          <w:color w:val="auto"/>
          <w:sz w:val="32"/>
        </w:rPr>
        <w:t>1.3 核心功能与适用人群</w:t>
      </w:r>
    </w:p>
    <w:p w14:paraId="09BD830F">
      <w:pPr>
        <w:pStyle w:val="14"/>
        <w:numPr>
          <w:ilvl w:val="0"/>
          <w:numId w:val="1"/>
        </w:num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核心功能：多模态数据录入/批量导入、单病种双模态风险分级预测、危险因素可视化溯源、慢病科普文章智能推荐、周边医疗机构精准推荐、基于豆包大模型的个性化健康干预方案生成、健康随访管理</w:t>
      </w:r>
    </w:p>
    <w:p w14:paraId="49DFC4FB">
      <w:pPr>
        <w:pStyle w:val="14"/>
        <w:numPr>
          <w:ilvl w:val="0"/>
          <w:numId w:val="1"/>
        </w:num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适用人群：慢病高危人群、普通健康管理用户、基层社区卫生服务中心、体检机构、基层临床医护人员</w:t>
      </w:r>
    </w:p>
    <w:p w14:paraId="71AFDE10">
      <w:pPr>
        <w:snapToGrid/>
        <w:spacing w:beforeAutospacing="0" w:afterAutospacing="0" w:line="560" w:lineRule="exact"/>
        <w:ind w:left="0" w:leftChars="0" w:right="0" w:rightChars="0" w:firstLine="482" w:firstLineChars="0"/>
        <w:jc w:val="left"/>
        <w:rPr>
          <w:rFonts w:ascii="仿宋" w:eastAsia="仿宋"/>
          <w:sz w:val="24"/>
        </w:rPr>
      </w:pPr>
    </w:p>
    <w:p w14:paraId="24334FA9">
      <w:pPr>
        <w:pStyle w:val="3"/>
        <w:snapToGrid/>
        <w:spacing w:before="200" w:beforeAutospacing="0" w:after="100" w:afterAutospacing="0" w:line="240" w:lineRule="auto"/>
        <w:ind w:left="0" w:leftChars="0" w:right="0" w:rightChars="0" w:firstLine="0" w:firstLineChars="0"/>
        <w:jc w:val="left"/>
        <w:outlineLvl w:val="1"/>
        <w:rPr>
          <w:rFonts w:ascii="楷体" w:eastAsia="楷体"/>
          <w:b w:val="0"/>
          <w:color w:val="auto"/>
          <w:sz w:val="32"/>
        </w:rPr>
      </w:pPr>
      <w:r>
        <w:rPr>
          <w:rFonts w:ascii="楷体" w:eastAsia="楷体"/>
          <w:b w:val="0"/>
          <w:color w:val="auto"/>
          <w:sz w:val="32"/>
        </w:rPr>
        <w:t>1.4 作品整体架构</w:t>
      </w:r>
    </w:p>
    <w:p w14:paraId="4D6144A5">
      <w:p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一句话概括全流程逻辑，</w:t>
      </w:r>
      <w:r>
        <w:rPr>
          <w:rFonts w:ascii="仿宋" w:eastAsia="仿宋"/>
          <w:b/>
          <w:bCs/>
          <w:sz w:val="24"/>
        </w:rPr>
        <w:t>必须配套作品整体架构框图</w:t>
      </w:r>
      <w:r>
        <w:rPr>
          <w:rFonts w:ascii="仿宋" w:eastAsia="仿宋"/>
          <w:sz w:val="24"/>
        </w:rPr>
        <w:t>（从「数据层→模型层→协同决策层→服务层→应用层」全链路，明确标注6个模型、3类个性化服务、3节点集群部署的定位）。</w:t>
      </w:r>
    </w:p>
    <w:p w14:paraId="09E29DD7">
      <w:pPr>
        <w:rPr>
          <w:rFonts w:ascii="仿宋" w:eastAsia="仿宋"/>
          <w:sz w:val="24"/>
        </w:rPr>
      </w:pPr>
      <w:r>
        <w:rPr>
          <w:rFonts w:ascii="仿宋" w:eastAsia="仿宋"/>
          <w:sz w:val="24"/>
        </w:rPr>
        <w:br w:type="page"/>
      </w:r>
    </w:p>
    <w:p w14:paraId="29FF5BDB">
      <w:pPr>
        <w:pStyle w:val="2"/>
        <w:snapToGrid/>
        <w:spacing w:before="200" w:beforeAutospacing="0" w:after="100" w:afterAutospacing="0" w:line="240" w:lineRule="auto"/>
        <w:ind w:left="0" w:leftChars="0" w:right="0" w:rightChars="0" w:firstLine="0" w:firstLineChars="0"/>
        <w:jc w:val="left"/>
        <w:outlineLvl w:val="0"/>
        <w:rPr>
          <w:rFonts w:ascii="黑体" w:eastAsia="黑体"/>
          <w:b w:val="0"/>
          <w:color w:val="auto"/>
          <w:sz w:val="32"/>
        </w:rPr>
      </w:pPr>
      <w:r>
        <w:rPr>
          <w:rFonts w:ascii="黑体" w:eastAsia="黑体"/>
          <w:b w:val="0"/>
          <w:color w:val="auto"/>
          <w:sz w:val="32"/>
        </w:rPr>
        <w:t>第2章 问题与需求分析（必填，凸显作品必要性，拒绝无病呻吟）</w:t>
      </w:r>
    </w:p>
    <w:p w14:paraId="776D2494">
      <w:p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【填写规范】从临床真实痛点出发，拆解现有方案的不足，明确你要解决的核心问题，所有需求必须在后续章节有对应的解决方案与验证数据。</w:t>
      </w:r>
    </w:p>
    <w:p w14:paraId="449FDD51">
      <w:pPr>
        <w:snapToGrid/>
        <w:spacing w:beforeAutospacing="0" w:afterAutospacing="0" w:line="560" w:lineRule="exact"/>
        <w:ind w:left="0" w:leftChars="0" w:right="0" w:rightChars="0" w:firstLine="482" w:firstLineChars="0"/>
        <w:jc w:val="left"/>
        <w:rPr>
          <w:rFonts w:ascii="仿宋" w:eastAsia="仿宋"/>
          <w:sz w:val="24"/>
        </w:rPr>
      </w:pPr>
    </w:p>
    <w:p w14:paraId="09C52317">
      <w:pPr>
        <w:pStyle w:val="3"/>
        <w:snapToGrid/>
        <w:spacing w:before="200" w:beforeAutospacing="0" w:after="100" w:afterAutospacing="0" w:line="240" w:lineRule="auto"/>
        <w:ind w:left="0" w:leftChars="0" w:right="0" w:rightChars="0" w:firstLine="0" w:firstLineChars="0"/>
        <w:jc w:val="left"/>
        <w:outlineLvl w:val="1"/>
        <w:rPr>
          <w:rFonts w:ascii="楷体" w:eastAsia="楷体"/>
          <w:b w:val="0"/>
          <w:color w:val="auto"/>
          <w:sz w:val="32"/>
        </w:rPr>
      </w:pPr>
      <w:r>
        <w:rPr>
          <w:rFonts w:ascii="楷体" w:eastAsia="楷体"/>
          <w:b w:val="0"/>
          <w:color w:val="auto"/>
          <w:sz w:val="32"/>
        </w:rPr>
        <w:t>2.1 问题来源与核心痛点</w:t>
      </w:r>
    </w:p>
    <w:p w14:paraId="40021C64">
      <w:p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明确5个真实可落地的痛点，每个痛点对应临床/用户真实场景：</w:t>
      </w:r>
    </w:p>
    <w:p w14:paraId="3D7E75D9">
      <w:pPr>
        <w:snapToGrid/>
        <w:spacing w:beforeAutospacing="0" w:afterAutospacing="0" w:line="560" w:lineRule="exact"/>
        <w:ind w:left="0" w:leftChars="0" w:right="0" w:rightChars="0" w:firstLine="482" w:firstLineChars="0"/>
        <w:jc w:val="left"/>
        <w:rPr>
          <w:rFonts w:ascii="仿宋" w:eastAsia="仿宋"/>
          <w:sz w:val="24"/>
        </w:rPr>
      </w:pPr>
    </w:p>
    <w:p w14:paraId="79B42390">
      <w:p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1. 单模态早筛局限：现有方案多依赖单一生化数据或单一影像数据，无法兼顾全维度危险因素与病灶直观病变特征，早筛漏检率、假阳性率高；</w:t>
      </w:r>
    </w:p>
    <w:p w14:paraId="420ACB36">
      <w:p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2. 多模型孤立堆砌：现有多模态方案多为模型简单拼接，未挖掘结构化与影像数据的互补优势，无成熟的协同决策机制，预测精度提升有限；</w:t>
      </w:r>
    </w:p>
    <w:p w14:paraId="718E07AA">
      <w:p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3. 临床落地障碍：黑箱模型缺乏可解释性，仅输出风险结果，无法明确核心危险因素与病灶区域，用户与基层医护无法采信，难以指导健康管理决策；</w:t>
      </w:r>
    </w:p>
    <w:p w14:paraId="10993755">
      <w:p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4. 健康管理闭环缺失：现有产品「重诊断、轻管理」，干预方案同质化严重，未结合用户个体情况提供精准的科普、就医、干预全维度健康指导；</w:t>
      </w:r>
    </w:p>
    <w:p w14:paraId="705E9304">
      <w:p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5. 落地成本高企：现有慢病管理平台多依赖企业级云服务器部署，运维成本高，基层机构与学生团队难以复刻，缺乏轻量化、可落地的本地部署方案。</w:t>
      </w:r>
    </w:p>
    <w:p w14:paraId="03532284">
      <w:pPr>
        <w:snapToGrid/>
        <w:spacing w:beforeAutospacing="0" w:afterAutospacing="0" w:line="560" w:lineRule="exact"/>
        <w:ind w:left="0" w:leftChars="0" w:right="0" w:rightChars="0" w:firstLine="482" w:firstLineChars="0"/>
        <w:jc w:val="left"/>
        <w:rPr>
          <w:rFonts w:ascii="仿宋" w:eastAsia="仿宋"/>
          <w:sz w:val="24"/>
        </w:rPr>
      </w:pPr>
    </w:p>
    <w:p w14:paraId="46C0241D">
      <w:pPr>
        <w:pStyle w:val="3"/>
        <w:snapToGrid/>
        <w:spacing w:before="200" w:beforeAutospacing="0" w:after="100" w:afterAutospacing="0" w:line="240" w:lineRule="auto"/>
        <w:ind w:left="0" w:leftChars="0" w:right="0" w:rightChars="0" w:firstLine="0" w:firstLineChars="0"/>
        <w:jc w:val="left"/>
        <w:outlineLvl w:val="1"/>
        <w:rPr>
          <w:rFonts w:ascii="楷体" w:eastAsia="楷体"/>
          <w:b w:val="0"/>
          <w:color w:val="auto"/>
          <w:sz w:val="32"/>
        </w:rPr>
      </w:pPr>
      <w:r>
        <w:rPr>
          <w:rFonts w:ascii="楷体" w:eastAsia="楷体"/>
          <w:b w:val="0"/>
          <w:color w:val="auto"/>
          <w:sz w:val="32"/>
        </w:rPr>
        <w:t>2.2 现有解决方案与竞品分析</w:t>
      </w:r>
    </w:p>
    <w:p w14:paraId="26A48EA1">
      <w:p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分2个维度分析，</w:t>
      </w:r>
      <w:r>
        <w:rPr>
          <w:rFonts w:ascii="仿宋" w:eastAsia="仿宋"/>
          <w:b/>
          <w:bCs/>
          <w:sz w:val="24"/>
        </w:rPr>
        <w:t>必须标注参考文献/竞品来源</w:t>
      </w:r>
      <w:r>
        <w:rPr>
          <w:rFonts w:ascii="仿宋" w:eastAsia="仿宋"/>
          <w:sz w:val="24"/>
        </w:rPr>
        <w:t>，配套「本作品与竞品/现有方案对比三线表」（对比维度：覆盖病种、数据模态、多模型协同机制、可解释性、健康管理维度、部署成本、落地门槛）：</w:t>
      </w:r>
    </w:p>
    <w:p w14:paraId="1DC28874">
      <w:pPr>
        <w:snapToGrid/>
        <w:spacing w:beforeAutospacing="0" w:afterAutospacing="0" w:line="560" w:lineRule="exact"/>
        <w:ind w:left="0" w:leftChars="0" w:right="0" w:rightChars="0" w:firstLine="482" w:firstLineChars="0"/>
        <w:jc w:val="left"/>
        <w:rPr>
          <w:rFonts w:ascii="仿宋" w:eastAsia="仿宋"/>
          <w:sz w:val="24"/>
        </w:rPr>
      </w:pPr>
    </w:p>
    <w:p w14:paraId="49F4D36B">
      <w:p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1. 学术研究现状：梳理国内外慢病预测、多模态医疗AI研究的进展，明确现有研究的不足（单病种为主、多模态协同不足、缺乏落地闭环等）；</w:t>
      </w:r>
    </w:p>
    <w:p w14:paraId="4D46547F">
      <w:p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2. 商用产品现状：梳理市面现有慢病风险评估产品（体检机构风险报告、健康管理APP等），分析其核心局限（单模态评估、无协同决策、干预方案同质化、部署成本高等）。</w:t>
      </w:r>
    </w:p>
    <w:p w14:paraId="700EED40">
      <w:pPr>
        <w:snapToGrid/>
        <w:spacing w:beforeAutospacing="0" w:afterAutospacing="0" w:line="560" w:lineRule="exact"/>
        <w:ind w:left="0" w:leftChars="0" w:right="0" w:rightChars="0" w:firstLine="482" w:firstLineChars="0"/>
        <w:jc w:val="left"/>
        <w:rPr>
          <w:rFonts w:ascii="仿宋" w:eastAsia="仿宋"/>
          <w:sz w:val="24"/>
        </w:rPr>
      </w:pPr>
    </w:p>
    <w:p w14:paraId="406E8CA8">
      <w:pPr>
        <w:pStyle w:val="3"/>
        <w:snapToGrid/>
        <w:spacing w:before="200" w:beforeAutospacing="0" w:after="100" w:afterAutospacing="0" w:line="240" w:lineRule="auto"/>
        <w:ind w:left="0" w:leftChars="0" w:right="0" w:rightChars="0" w:firstLine="0" w:firstLineChars="0"/>
        <w:jc w:val="left"/>
        <w:outlineLvl w:val="1"/>
        <w:rPr>
          <w:rFonts w:ascii="楷体" w:eastAsia="楷体"/>
          <w:b w:val="0"/>
          <w:color w:val="auto"/>
          <w:sz w:val="32"/>
        </w:rPr>
      </w:pPr>
      <w:r>
        <w:rPr>
          <w:rFonts w:ascii="楷体" w:eastAsia="楷体"/>
          <w:b w:val="0"/>
          <w:color w:val="auto"/>
          <w:sz w:val="32"/>
        </w:rPr>
        <w:t>2.3 核心需求拆解</w:t>
      </w:r>
    </w:p>
    <w:p w14:paraId="518D1A2D">
      <w:p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基于痛点分析，明确4个层级的核心需求，所有需求必须闭环：</w:t>
      </w:r>
    </w:p>
    <w:p w14:paraId="061D008E">
      <w:pPr>
        <w:snapToGrid/>
        <w:spacing w:beforeAutospacing="0" w:afterAutospacing="0" w:line="560" w:lineRule="exact"/>
        <w:ind w:left="0" w:leftChars="0" w:right="0" w:rightChars="0" w:firstLine="482" w:firstLineChars="0"/>
        <w:jc w:val="left"/>
        <w:rPr>
          <w:rFonts w:ascii="仿宋" w:eastAsia="仿宋"/>
          <w:sz w:val="24"/>
        </w:rPr>
      </w:pPr>
    </w:p>
    <w:p w14:paraId="0A69417C">
      <w:p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1. 数据需求：实现开源结构化临床数据与医学影像数据的标准化处理、合规使用，保证数据的权威性与可复现性；</w:t>
      </w:r>
    </w:p>
    <w:p w14:paraId="4DB69DC0">
      <w:p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2. 模型需求：构建兼顾单病种预测精度与双模态协同效应的6模型预测体系，保证模型的泛化性与可解释性；</w:t>
      </w:r>
    </w:p>
    <w:p w14:paraId="5050F6A0">
      <w:p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3. 功能需求：实现「预测-溯源-科普-就医推荐-个性化干预-随访」全流程功能，操作门槛低，可视化效果好；</w:t>
      </w:r>
    </w:p>
    <w:p w14:paraId="2E78ABA6">
      <w:p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4. 落地需求：模型与平台可基于低成本本地物理集群完成稳定部署，适配基层医疗、居家健康管理等多场景，保障高并发下的服务稳定性。</w:t>
      </w:r>
    </w:p>
    <w:p w14:paraId="6BB255DF">
      <w:pPr>
        <w:snapToGrid/>
        <w:spacing w:beforeAutospacing="0" w:afterAutospacing="0" w:line="560" w:lineRule="exact"/>
        <w:ind w:left="0" w:leftChars="0" w:right="0" w:rightChars="0" w:firstLine="482" w:firstLineChars="0"/>
        <w:jc w:val="left"/>
        <w:rPr>
          <w:rFonts w:ascii="仿宋" w:eastAsia="仿宋"/>
          <w:sz w:val="24"/>
        </w:rPr>
      </w:pPr>
    </w:p>
    <w:p w14:paraId="1927E2CA">
      <w:pPr>
        <w:pStyle w:val="3"/>
        <w:snapToGrid/>
        <w:spacing w:before="200" w:beforeAutospacing="0" w:after="100" w:afterAutospacing="0" w:line="240" w:lineRule="auto"/>
        <w:ind w:left="0" w:leftChars="0" w:right="0" w:rightChars="0" w:firstLine="0" w:firstLineChars="0"/>
        <w:jc w:val="left"/>
        <w:outlineLvl w:val="1"/>
        <w:rPr>
          <w:rFonts w:ascii="楷体" w:eastAsia="楷体"/>
          <w:b w:val="0"/>
          <w:color w:val="auto"/>
          <w:sz w:val="32"/>
        </w:rPr>
      </w:pPr>
      <w:r>
        <w:rPr>
          <w:rFonts w:ascii="楷体" w:eastAsia="楷体"/>
          <w:b w:val="0"/>
          <w:color w:val="auto"/>
          <w:sz w:val="32"/>
        </w:rPr>
        <w:t>2.4 整体解决思路与技术路线</w:t>
      </w:r>
    </w:p>
    <w:p w14:paraId="6907710A">
      <w:p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b/>
          <w:bCs/>
          <w:sz w:val="24"/>
        </w:rPr>
        <w:t>必须配套整体技术路线流程图</w:t>
      </w:r>
      <w:r>
        <w:rPr>
          <w:rFonts w:ascii="仿宋" w:eastAsia="仿宋"/>
          <w:sz w:val="24"/>
        </w:rPr>
        <w:t>，一句话讲清解决逻辑：以三类慢病双模态早筛为核心，先完成6组开源数据集的构建与分模态预处理，再构建3个结构化+3个影像的单病预测模型，设计双模态协同决策机制，配套多维度个性化健康管理模块，最终完成前后端分离的平台开发与3节点本地集群部署，通过多组测试验证作品有效性。</w:t>
      </w:r>
    </w:p>
    <w:p w14:paraId="0D9D5AE5">
      <w:pPr>
        <w:rPr>
          <w:rFonts w:ascii="黑体" w:eastAsia="黑体"/>
          <w:b w:val="0"/>
          <w:color w:val="auto"/>
          <w:sz w:val="32"/>
        </w:rPr>
      </w:pPr>
      <w:r>
        <w:rPr>
          <w:rFonts w:ascii="黑体" w:eastAsia="黑体"/>
          <w:b w:val="0"/>
          <w:color w:val="auto"/>
          <w:sz w:val="32"/>
        </w:rPr>
        <w:br w:type="page"/>
      </w:r>
    </w:p>
    <w:p w14:paraId="582539EC">
      <w:pPr>
        <w:rPr>
          <w:rFonts w:ascii="黑体" w:eastAsia="黑体"/>
          <w:b w:val="0"/>
          <w:color w:val="auto"/>
          <w:sz w:val="32"/>
        </w:rPr>
      </w:pPr>
      <w:r>
        <w:rPr>
          <w:rFonts w:ascii="黑体" w:eastAsia="黑体"/>
          <w:b w:val="0"/>
          <w:color w:val="auto"/>
          <w:sz w:val="32"/>
        </w:rPr>
        <w:t>第3章 数据集构建与数据预处理（大数据赛核心打分项，必填，已适配开源数据集场景）</w:t>
      </w:r>
    </w:p>
    <w:p w14:paraId="1FF60B83">
      <w:p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【填写规范】大数据作品，数据是根基，必须100%对应6个模型，明确开源数据集的合规性、授权协议、金标准，删除所有脱敏相关表述，贴合开源数据场景。</w:t>
      </w:r>
    </w:p>
    <w:p w14:paraId="538BB033">
      <w:pPr>
        <w:snapToGrid/>
        <w:spacing w:beforeAutospacing="0" w:afterAutospacing="0" w:line="560" w:lineRule="exact"/>
        <w:ind w:left="0" w:leftChars="0" w:right="0" w:rightChars="0" w:firstLine="482" w:firstLineChars="0"/>
        <w:jc w:val="left"/>
        <w:rPr>
          <w:rFonts w:ascii="仿宋" w:eastAsia="仿宋"/>
          <w:sz w:val="24"/>
        </w:rPr>
      </w:pPr>
    </w:p>
    <w:p w14:paraId="78E6956F">
      <w:pPr>
        <w:pStyle w:val="3"/>
        <w:snapToGrid/>
        <w:spacing w:before="200" w:beforeAutospacing="0" w:after="100" w:afterAutospacing="0" w:line="240" w:lineRule="auto"/>
        <w:ind w:left="0" w:leftChars="0" w:right="0" w:rightChars="0" w:firstLine="0" w:firstLineChars="0"/>
        <w:jc w:val="left"/>
        <w:outlineLvl w:val="1"/>
        <w:rPr>
          <w:rFonts w:ascii="楷体" w:eastAsia="楷体"/>
          <w:b w:val="0"/>
          <w:color w:val="auto"/>
          <w:sz w:val="32"/>
        </w:rPr>
      </w:pPr>
      <w:r>
        <w:rPr>
          <w:rFonts w:ascii="楷体" w:eastAsia="楷体"/>
          <w:b w:val="0"/>
          <w:color w:val="auto"/>
          <w:sz w:val="32"/>
        </w:rPr>
        <w:t>3.1 数据集合规性声明与整体映射关系</w:t>
      </w:r>
    </w:p>
    <w:p w14:paraId="2E4F0B58">
      <w:pPr>
        <w:pStyle w:val="4"/>
        <w:snapToGrid/>
        <w:spacing w:before="200" w:beforeAutospacing="0" w:after="100" w:afterAutospacing="0" w:line="240" w:lineRule="auto"/>
        <w:ind w:left="0" w:leftChars="0" w:right="0" w:rightChars="0" w:firstLine="0" w:firstLineChars="0"/>
        <w:jc w:val="left"/>
        <w:outlineLvl w:val="2"/>
        <w:rPr>
          <w:rFonts w:ascii="仿宋" w:eastAsia="仿宋"/>
          <w:b w:val="0"/>
          <w:color w:val="auto"/>
          <w:sz w:val="28"/>
        </w:rPr>
      </w:pPr>
      <w:r>
        <w:rPr>
          <w:rFonts w:ascii="仿宋" w:eastAsia="仿宋"/>
          <w:b w:val="0"/>
          <w:color w:val="auto"/>
          <w:sz w:val="28"/>
        </w:rPr>
        <w:t>3.1.1 开源数据合规性声明（必填红线，适配调整内容）</w:t>
      </w:r>
    </w:p>
    <w:p w14:paraId="46133EEA">
      <w:p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本作品所用所有数据均来自</w:t>
      </w:r>
      <w:r>
        <w:rPr>
          <w:rFonts w:ascii="仿宋" w:eastAsia="仿宋"/>
          <w:b/>
          <w:bCs/>
          <w:sz w:val="24"/>
        </w:rPr>
        <w:t>权威公开开源医疗数据集</w:t>
      </w:r>
      <w:r>
        <w:rPr>
          <w:rFonts w:ascii="仿宋" w:eastAsia="仿宋"/>
          <w:sz w:val="24"/>
        </w:rPr>
        <w:t>，数据集本身已完成全量匿名化处理，无任何可识别个人身份的隐私信息，无需额外脱敏处理；所有数据集均采用CC0、CC BY 4.0等开源授权协议，明确允许学术研究与非商业参赛使用，符合《中华人民共和国著作权法》与大赛参赛规则，无任何数据合规风险。</w:t>
      </w:r>
    </w:p>
    <w:p w14:paraId="24F86EF9">
      <w:pPr>
        <w:snapToGrid/>
        <w:spacing w:beforeAutospacing="0" w:afterAutospacing="0" w:line="560" w:lineRule="exact"/>
        <w:ind w:left="0" w:leftChars="0" w:right="0" w:rightChars="0" w:firstLine="482" w:firstLineChars="0"/>
        <w:jc w:val="left"/>
        <w:rPr>
          <w:rFonts w:ascii="仿宋" w:eastAsia="仿宋"/>
          <w:sz w:val="24"/>
        </w:rPr>
      </w:pPr>
    </w:p>
    <w:p w14:paraId="4901DE78">
      <w:pPr>
        <w:pStyle w:val="4"/>
        <w:snapToGrid/>
        <w:spacing w:before="200" w:beforeAutospacing="0" w:after="100" w:afterAutospacing="0" w:line="240" w:lineRule="auto"/>
        <w:ind w:left="0" w:leftChars="0" w:right="0" w:rightChars="0" w:firstLine="0" w:firstLineChars="0"/>
        <w:jc w:val="left"/>
        <w:outlineLvl w:val="2"/>
        <w:rPr>
          <w:rFonts w:ascii="仿宋" w:eastAsia="仿宋"/>
          <w:b w:val="0"/>
          <w:color w:val="auto"/>
          <w:sz w:val="28"/>
        </w:rPr>
      </w:pPr>
      <w:r>
        <w:rPr>
          <w:rFonts w:ascii="仿宋" w:eastAsia="仿宋"/>
          <w:b w:val="0"/>
          <w:color w:val="auto"/>
          <w:sz w:val="28"/>
        </w:rPr>
        <w:t>3.1.2 数据集-模型一一映射关系（必填，解决6模型数据对应混乱问题）</w:t>
      </w:r>
    </w:p>
    <w:p w14:paraId="0B8E0B79">
      <w:p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b/>
          <w:bCs/>
          <w:sz w:val="24"/>
        </w:rPr>
        <w:t>必须配套三线表</w:t>
      </w:r>
      <w:r>
        <w:rPr>
          <w:rFonts w:ascii="仿宋" w:eastAsia="仿宋"/>
          <w:sz w:val="24"/>
        </w:rPr>
        <w:t>，明确6个数据集与6个模型的一一对应关系，示例如下：</w:t>
      </w:r>
    </w:p>
    <w:p w14:paraId="6A10499D">
      <w:pPr>
        <w:snapToGrid/>
        <w:spacing w:beforeAutospacing="0" w:afterAutospacing="0" w:line="560" w:lineRule="exact"/>
        <w:ind w:left="0" w:leftChars="0" w:right="0" w:rightChars="0" w:firstLine="482" w:firstLineChars="0"/>
        <w:jc w:val="left"/>
        <w:rPr>
          <w:rFonts w:ascii="仿宋" w:eastAsia="仿宋"/>
          <w:sz w:val="24"/>
        </w:rPr>
      </w:pPr>
    </w:p>
    <w:p w14:paraId="7945B5A3">
      <w:pPr>
        <w:spacing w:after="120"/>
        <w:ind w:left="0" w:leftChars="0" w:right="0" w:rightChars="0" w:firstLine="0" w:firstLineChars="0"/>
        <w:jc w:val="center"/>
        <w:rPr>
          <w:rFonts w:ascii="仿宋" w:eastAsia="仿宋"/>
          <w:b/>
          <w:sz w:val="24"/>
        </w:rPr>
      </w:pPr>
      <w:r>
        <w:rPr>
          <w:rFonts w:ascii="仿宋" w:eastAsia="仿宋"/>
          <w:b/>
          <w:sz w:val="24"/>
        </w:rPr>
        <w:t>表1 数据集与模型对应关系表</w:t>
      </w:r>
    </w:p>
    <w:p w14:paraId="2EC37169">
      <w:pPr>
        <w:snapToGrid/>
        <w:spacing w:beforeAutospacing="0" w:afterAutospacing="0" w:line="560" w:lineRule="exact"/>
        <w:ind w:left="0" w:leftChars="0" w:right="0" w:rightChars="0" w:firstLine="482" w:firstLineChars="0"/>
        <w:jc w:val="left"/>
        <w:rPr>
          <w:rFonts w:ascii="仿宋" w:eastAsia="仿宋"/>
          <w:sz w:val="24"/>
        </w:rPr>
      </w:pPr>
    </w:p>
    <w:tbl>
      <w:tblPr>
        <w:tblStyle w:val="1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1085"/>
        <w:gridCol w:w="1753"/>
        <w:gridCol w:w="1335"/>
        <w:gridCol w:w="1420"/>
        <w:gridCol w:w="2170"/>
        <w:gridCol w:w="1503"/>
      </w:tblGrid>
      <w:tr w14:paraId="1CA8D8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tblHeader/>
        </w:trPr>
        <w:tc>
          <w:p w14:paraId="374C2D2E">
            <w:pPr>
              <w:jc w:val="left"/>
            </w:pPr>
            <w:r>
              <w:rPr>
                <w:b/>
                <w:bCs/>
              </w:rPr>
              <w:t>数据集序号</w:t>
            </w:r>
          </w:p>
        </w:tc>
        <w:tc>
          <w:p w14:paraId="3FB25D95">
            <w:pPr>
              <w:jc w:val="left"/>
            </w:pPr>
            <w:r>
              <w:rPr>
                <w:b/>
                <w:bCs/>
              </w:rPr>
              <w:t>对应模型名称</w:t>
            </w:r>
          </w:p>
        </w:tc>
        <w:tc>
          <w:p w14:paraId="295D4ACA">
            <w:pPr>
              <w:jc w:val="left"/>
            </w:pPr>
            <w:r>
              <w:rPr>
                <w:b/>
                <w:bCs/>
              </w:rPr>
              <w:t>数据模态</w:t>
            </w:r>
          </w:p>
        </w:tc>
        <w:tc>
          <w:p w14:paraId="730231CD">
            <w:pPr>
              <w:jc w:val="left"/>
            </w:pPr>
            <w:r>
              <w:rPr>
                <w:b/>
                <w:bCs/>
              </w:rPr>
              <w:t>对应病种</w:t>
            </w:r>
          </w:p>
        </w:tc>
        <w:tc>
          <w:p w14:paraId="5D24CB99">
            <w:pPr>
              <w:jc w:val="left"/>
            </w:pPr>
            <w:r>
              <w:rPr>
                <w:b/>
                <w:bCs/>
              </w:rPr>
              <w:t>开源数据集名称</w:t>
            </w:r>
          </w:p>
        </w:tc>
        <w:tc>
          <w:p w14:paraId="065ABD61">
            <w:pPr>
              <w:jc w:val="left"/>
            </w:pPr>
            <w:r>
              <w:rPr>
                <w:b/>
                <w:bCs/>
              </w:rPr>
              <w:t>核心用途</w:t>
            </w:r>
          </w:p>
        </w:tc>
      </w:tr>
      <w:tr w14:paraId="6B1215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29102283">
            <w:pPr>
              <w:jc w:val="left"/>
            </w:pPr>
            <w:r>
              <w:t>数据集1</w:t>
            </w:r>
          </w:p>
        </w:tc>
        <w:tc>
          <w:p w14:paraId="75A8D9B1">
            <w:pPr>
              <w:jc w:val="left"/>
            </w:pPr>
            <w:r>
              <w:t>结构化数据肝病预测模型</w:t>
            </w:r>
          </w:p>
        </w:tc>
        <w:tc>
          <w:p w14:paraId="115C633F">
            <w:pPr>
              <w:jc w:val="left"/>
            </w:pPr>
            <w:r>
              <w:t>结构化临床数据</w:t>
            </w:r>
          </w:p>
        </w:tc>
        <w:tc>
          <w:p w14:paraId="1F1380C6">
            <w:pPr>
              <w:jc w:val="left"/>
            </w:pPr>
            <w:r>
              <w:t>非酒精性脂肪性肝病</w:t>
            </w:r>
          </w:p>
        </w:tc>
        <w:tc>
          <w:p w14:paraId="0BB87EEE">
            <w:pPr>
              <w:jc w:val="left"/>
            </w:pPr>
            <w:r>
              <w:t>【如NHANES全国健康和营养检查调查数据集】</w:t>
            </w:r>
          </w:p>
        </w:tc>
        <w:tc>
          <w:p w14:paraId="3825F25C">
            <w:pPr>
              <w:jc w:val="left"/>
            </w:pPr>
            <w:r>
              <w:t>模型训练、验证、测试</w:t>
            </w:r>
          </w:p>
        </w:tc>
      </w:tr>
      <w:tr w14:paraId="1AD873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0F5FD3BC">
            <w:pPr>
              <w:jc w:val="left"/>
            </w:pPr>
            <w:r>
              <w:t>数据集2</w:t>
            </w:r>
          </w:p>
        </w:tc>
        <w:tc>
          <w:p w14:paraId="74C944C1">
            <w:pPr>
              <w:jc w:val="left"/>
            </w:pPr>
            <w:r>
              <w:t>结构化数据2型糖尿病预测模型</w:t>
            </w:r>
          </w:p>
        </w:tc>
        <w:tc>
          <w:p w14:paraId="27E43B91">
            <w:pPr>
              <w:jc w:val="left"/>
            </w:pPr>
            <w:r>
              <w:t>结构化临床数据</w:t>
            </w:r>
          </w:p>
        </w:tc>
        <w:tc>
          <w:p w14:paraId="5457A357">
            <w:pPr>
              <w:jc w:val="left"/>
            </w:pPr>
            <w:r>
              <w:t>2型糖尿病</w:t>
            </w:r>
          </w:p>
        </w:tc>
        <w:tc>
          <w:p w14:paraId="3AD500B0">
            <w:pPr>
              <w:jc w:val="left"/>
            </w:pPr>
            <w:r>
              <w:t>【如NHANES全国健康和营养检查调查数据集】</w:t>
            </w:r>
          </w:p>
        </w:tc>
        <w:tc>
          <w:p w14:paraId="6AC9E513">
            <w:pPr>
              <w:jc w:val="left"/>
            </w:pPr>
            <w:r>
              <w:t>模型训练、验证、测试</w:t>
            </w:r>
          </w:p>
        </w:tc>
      </w:tr>
      <w:tr w14:paraId="639F50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4F6FDFDF">
            <w:pPr>
              <w:jc w:val="left"/>
            </w:pPr>
            <w:r>
              <w:t>数据集3</w:t>
            </w:r>
          </w:p>
        </w:tc>
        <w:tc>
          <w:p w14:paraId="09CD902A">
            <w:pPr>
              <w:jc w:val="left"/>
            </w:pPr>
            <w:r>
              <w:t>结构化数据脑卒中预测模型</w:t>
            </w:r>
          </w:p>
        </w:tc>
        <w:tc>
          <w:p w14:paraId="4F0F525C">
            <w:pPr>
              <w:jc w:val="left"/>
            </w:pPr>
            <w:r>
              <w:t>结构化临床数据</w:t>
            </w:r>
          </w:p>
        </w:tc>
        <w:tc>
          <w:p w14:paraId="51894CDD">
            <w:pPr>
              <w:jc w:val="left"/>
            </w:pPr>
            <w:r>
              <w:t>缺血性脑卒中</w:t>
            </w:r>
          </w:p>
        </w:tc>
        <w:tc>
          <w:p w14:paraId="0661E5A9">
            <w:pPr>
              <w:jc w:val="left"/>
            </w:pPr>
            <w:r>
              <w:t>【如CKB中国慢性病前瞻性研究公开数据集】</w:t>
            </w:r>
          </w:p>
        </w:tc>
        <w:tc>
          <w:p w14:paraId="6053FCF6">
            <w:pPr>
              <w:jc w:val="left"/>
            </w:pPr>
            <w:r>
              <w:t>模型训练、验证、测试</w:t>
            </w:r>
          </w:p>
        </w:tc>
      </w:tr>
      <w:tr w14:paraId="105466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2E2B7EFC">
            <w:pPr>
              <w:jc w:val="left"/>
            </w:pPr>
            <w:r>
              <w:t>数据集4</w:t>
            </w:r>
          </w:p>
        </w:tc>
        <w:tc>
          <w:p w14:paraId="29C7A7CD">
            <w:pPr>
              <w:jc w:val="left"/>
            </w:pPr>
            <w:r>
              <w:t>影像数据肝病预测模型</w:t>
            </w:r>
          </w:p>
        </w:tc>
        <w:tc>
          <w:p w14:paraId="262D21F0">
            <w:pPr>
              <w:jc w:val="left"/>
            </w:pPr>
            <w:r>
              <w:t>腹部超声/CT影像</w:t>
            </w:r>
          </w:p>
        </w:tc>
        <w:tc>
          <w:p w14:paraId="3BE06E08">
            <w:pPr>
              <w:jc w:val="left"/>
            </w:pPr>
            <w:r>
              <w:t>非酒精性脂肪性肝病</w:t>
            </w:r>
          </w:p>
        </w:tc>
        <w:tc>
          <w:p w14:paraId="3C1A65DA">
            <w:pPr>
              <w:jc w:val="left"/>
            </w:pPr>
            <w:r>
              <w:t>【如TCIA公开腹部影像数据集】</w:t>
            </w:r>
          </w:p>
        </w:tc>
        <w:tc>
          <w:p w14:paraId="4522F2E2">
            <w:pPr>
              <w:jc w:val="left"/>
            </w:pPr>
            <w:r>
              <w:t>模型训练、验证、测试</w:t>
            </w:r>
          </w:p>
        </w:tc>
      </w:tr>
      <w:tr w14:paraId="2A3B11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0F8239E0">
            <w:pPr>
              <w:jc w:val="left"/>
            </w:pPr>
            <w:r>
              <w:t>数据集5</w:t>
            </w:r>
          </w:p>
        </w:tc>
        <w:tc>
          <w:p w14:paraId="41B95FBB">
            <w:pPr>
              <w:jc w:val="left"/>
            </w:pPr>
            <w:r>
              <w:t>影像数据糖尿病预测模型</w:t>
            </w:r>
          </w:p>
        </w:tc>
        <w:tc>
          <w:p w14:paraId="71328208">
            <w:pPr>
              <w:jc w:val="left"/>
            </w:pPr>
            <w:r>
              <w:t>眼底彩照影像</w:t>
            </w:r>
          </w:p>
        </w:tc>
        <w:tc>
          <w:p w14:paraId="174B1688">
            <w:pPr>
              <w:jc w:val="left"/>
            </w:pPr>
            <w:r>
              <w:t>2型糖尿病</w:t>
            </w:r>
          </w:p>
        </w:tc>
        <w:tc>
          <w:p w14:paraId="371BFE7A">
            <w:pPr>
              <w:jc w:val="left"/>
            </w:pPr>
            <w:r>
              <w:t>【如IDRiD糖尿病视网膜病变公开数据集】</w:t>
            </w:r>
          </w:p>
        </w:tc>
        <w:tc>
          <w:p w14:paraId="248A7B0F">
            <w:pPr>
              <w:jc w:val="left"/>
            </w:pPr>
            <w:r>
              <w:t>模型训练、验证、测试</w:t>
            </w:r>
          </w:p>
        </w:tc>
      </w:tr>
      <w:tr w14:paraId="52197F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66F38C86">
            <w:pPr>
              <w:jc w:val="left"/>
            </w:pPr>
            <w:r>
              <w:t>数据集6</w:t>
            </w:r>
          </w:p>
        </w:tc>
        <w:tc>
          <w:p w14:paraId="1C7A2AFF">
            <w:pPr>
              <w:jc w:val="left"/>
            </w:pPr>
            <w:r>
              <w:t>影像数据脑卒中预测模型</w:t>
            </w:r>
          </w:p>
        </w:tc>
        <w:tc>
          <w:p w14:paraId="5685AC7A">
            <w:pPr>
              <w:jc w:val="left"/>
            </w:pPr>
            <w:r>
              <w:t>头颅CT/MRI影像</w:t>
            </w:r>
          </w:p>
        </w:tc>
        <w:tc>
          <w:p w14:paraId="4967944E">
            <w:pPr>
              <w:jc w:val="left"/>
            </w:pPr>
            <w:r>
              <w:t>缺血性脑卒中</w:t>
            </w:r>
          </w:p>
        </w:tc>
        <w:tc>
          <w:p w14:paraId="3D37EBBA">
            <w:pPr>
              <w:jc w:val="left"/>
            </w:pPr>
            <w:r>
              <w:t>【如ATLAS脑卒中公开影像数据集】</w:t>
            </w:r>
          </w:p>
        </w:tc>
        <w:tc>
          <w:p w14:paraId="73ED5D4D">
            <w:pPr>
              <w:jc w:val="left"/>
            </w:pPr>
            <w:r>
              <w:t>模型训练、验证、测试</w:t>
            </w:r>
          </w:p>
        </w:tc>
      </w:tr>
    </w:tbl>
    <w:p w14:paraId="3DE496C2">
      <w:pPr>
        <w:snapToGrid/>
        <w:spacing w:beforeAutospacing="0" w:afterAutospacing="0" w:line="560" w:lineRule="exact"/>
        <w:ind w:left="0" w:leftChars="0" w:right="0" w:rightChars="0" w:firstLine="482" w:firstLineChars="0"/>
        <w:jc w:val="left"/>
        <w:rPr>
          <w:rFonts w:ascii="仿宋" w:eastAsia="仿宋"/>
          <w:sz w:val="24"/>
        </w:rPr>
      </w:pPr>
    </w:p>
    <w:p w14:paraId="21D049A4">
      <w:pPr>
        <w:pStyle w:val="3"/>
        <w:snapToGrid/>
        <w:spacing w:before="200" w:beforeAutospacing="0" w:after="100" w:afterAutospacing="0" w:line="240" w:lineRule="auto"/>
        <w:ind w:left="0" w:leftChars="0" w:right="0" w:rightChars="0" w:firstLine="0" w:firstLineChars="0"/>
        <w:jc w:val="left"/>
        <w:outlineLvl w:val="1"/>
        <w:rPr>
          <w:rFonts w:ascii="楷体" w:eastAsia="楷体"/>
          <w:b w:val="0"/>
          <w:color w:val="auto"/>
          <w:sz w:val="32"/>
        </w:rPr>
      </w:pPr>
      <w:r>
        <w:rPr>
          <w:rFonts w:ascii="楷体" w:eastAsia="楷体"/>
          <w:b w:val="0"/>
          <w:color w:val="auto"/>
          <w:sz w:val="32"/>
        </w:rPr>
        <w:t>3.2 分模态数据集详情</w:t>
      </w:r>
    </w:p>
    <w:p w14:paraId="73812700">
      <w:pPr>
        <w:pStyle w:val="4"/>
        <w:snapToGrid/>
        <w:spacing w:before="200" w:beforeAutospacing="0" w:after="100" w:afterAutospacing="0" w:line="240" w:lineRule="auto"/>
        <w:ind w:left="0" w:leftChars="0" w:right="0" w:rightChars="0" w:firstLine="0" w:firstLineChars="0"/>
        <w:jc w:val="left"/>
        <w:outlineLvl w:val="2"/>
        <w:rPr>
          <w:rFonts w:ascii="仿宋" w:eastAsia="仿宋"/>
          <w:b w:val="0"/>
          <w:color w:val="auto"/>
          <w:sz w:val="28"/>
        </w:rPr>
      </w:pPr>
      <w:r>
        <w:rPr>
          <w:rFonts w:ascii="仿宋" w:eastAsia="仿宋"/>
          <w:b w:val="0"/>
          <w:color w:val="auto"/>
          <w:sz w:val="28"/>
        </w:rPr>
        <w:t>3.2.1 结构化临床数据集（数据集1-3）</w:t>
      </w:r>
    </w:p>
    <w:p w14:paraId="1E432A35">
      <w:p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分3小节，分别对应3个病种的结构化数据集，每个数据集必须明确：</w:t>
      </w:r>
    </w:p>
    <w:p w14:paraId="66BBF563">
      <w:pPr>
        <w:snapToGrid/>
        <w:spacing w:beforeAutospacing="0" w:afterAutospacing="0" w:line="560" w:lineRule="exact"/>
        <w:ind w:left="0" w:leftChars="0" w:right="0" w:rightChars="0" w:firstLine="482" w:firstLineChars="0"/>
        <w:jc w:val="left"/>
        <w:rPr>
          <w:rFonts w:ascii="仿宋" w:eastAsia="仿宋"/>
          <w:sz w:val="24"/>
        </w:rPr>
      </w:pPr>
    </w:p>
    <w:p w14:paraId="1502C1E6">
      <w:pPr>
        <w:pStyle w:val="14"/>
        <w:numPr>
          <w:ilvl w:val="0"/>
          <w:numId w:val="1"/>
        </w:num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开源数据集详情：数据集发布机构、版本号、官方来源链接、开源授权协议、数据采集周期；</w:t>
      </w:r>
    </w:p>
    <w:p w14:paraId="360D72E6">
      <w:pPr>
        <w:pStyle w:val="14"/>
        <w:numPr>
          <w:ilvl w:val="0"/>
          <w:numId w:val="1"/>
        </w:num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样本规模：总样本量、阳性样本量、阳性占比，训练/验证/测试集分层划分比例（推荐7:2:1）；</w:t>
      </w:r>
    </w:p>
    <w:p w14:paraId="25E3B012">
      <w:pPr>
        <w:pStyle w:val="14"/>
        <w:numPr>
          <w:ilvl w:val="0"/>
          <w:numId w:val="1"/>
        </w:num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特征构成：人口学信息、生化检验指标、生活行为习惯、既往病史、用药史5大类，明确特征维度；</w:t>
      </w:r>
    </w:p>
    <w:p w14:paraId="50E2391F">
      <w:pPr>
        <w:pStyle w:val="14"/>
        <w:numPr>
          <w:ilvl w:val="0"/>
          <w:numId w:val="1"/>
        </w:num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标签金标准：严格采用临床权威诊断标准（如糖尿病采用WHO 1999诊断标准、脑卒中采用TOAST分型标准、肝病采用NAFLD纤维化评分标准），与开源数据集标注标准完全一致。</w:t>
      </w:r>
    </w:p>
    <w:p w14:paraId="71A3CCD2">
      <w:pPr>
        <w:snapToGrid/>
        <w:spacing w:beforeAutospacing="0" w:afterAutospacing="0" w:line="560" w:lineRule="exact"/>
        <w:ind w:left="0" w:leftChars="0" w:right="0" w:rightChars="0" w:firstLine="482" w:firstLineChars="0"/>
        <w:jc w:val="left"/>
        <w:rPr>
          <w:rFonts w:ascii="仿宋" w:eastAsia="仿宋"/>
          <w:sz w:val="24"/>
        </w:rPr>
      </w:pPr>
    </w:p>
    <w:p w14:paraId="593DDDD8">
      <w:pPr>
        <w:pStyle w:val="4"/>
        <w:snapToGrid/>
        <w:spacing w:before="200" w:beforeAutospacing="0" w:after="100" w:afterAutospacing="0" w:line="240" w:lineRule="auto"/>
        <w:ind w:left="0" w:leftChars="0" w:right="0" w:rightChars="0" w:firstLine="0" w:firstLineChars="0"/>
        <w:jc w:val="left"/>
        <w:outlineLvl w:val="2"/>
        <w:rPr>
          <w:rFonts w:ascii="仿宋" w:eastAsia="仿宋"/>
          <w:b w:val="0"/>
          <w:color w:val="auto"/>
          <w:sz w:val="28"/>
        </w:rPr>
      </w:pPr>
      <w:r>
        <w:rPr>
          <w:rFonts w:ascii="仿宋" w:eastAsia="仿宋"/>
          <w:b w:val="0"/>
          <w:color w:val="auto"/>
          <w:sz w:val="28"/>
        </w:rPr>
        <w:t>3.2.2 医学影像数据集（数据集4-6）</w:t>
      </w:r>
    </w:p>
    <w:p w14:paraId="48E7EC5A">
      <w:p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分3小节，分别对应3个病种的影像数据集，每个数据集必须明确：</w:t>
      </w:r>
    </w:p>
    <w:p w14:paraId="5E7AF901">
      <w:pPr>
        <w:snapToGrid/>
        <w:spacing w:beforeAutospacing="0" w:afterAutospacing="0" w:line="560" w:lineRule="exact"/>
        <w:ind w:left="0" w:leftChars="0" w:right="0" w:rightChars="0" w:firstLine="482" w:firstLineChars="0"/>
        <w:jc w:val="left"/>
        <w:rPr>
          <w:rFonts w:ascii="仿宋" w:eastAsia="仿宋"/>
          <w:sz w:val="24"/>
        </w:rPr>
      </w:pPr>
    </w:p>
    <w:p w14:paraId="0A442763">
      <w:pPr>
        <w:pStyle w:val="14"/>
        <w:numPr>
          <w:ilvl w:val="0"/>
          <w:numId w:val="1"/>
        </w:num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开源数据集详情：数据集发布机构、版本号、官方来源链接、开源授权协议、数据采集机构；</w:t>
      </w:r>
    </w:p>
    <w:p w14:paraId="31F5980E">
      <w:pPr>
        <w:pStyle w:val="14"/>
        <w:numPr>
          <w:ilvl w:val="0"/>
          <w:numId w:val="1"/>
        </w:num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样本规模：总影像样本量、阳性样本量、官方标注资质说明，训练/验证/测试集划分比例；</w:t>
      </w:r>
    </w:p>
    <w:p w14:paraId="75073046">
      <w:pPr>
        <w:pStyle w:val="14"/>
        <w:numPr>
          <w:ilvl w:val="0"/>
          <w:numId w:val="1"/>
        </w:num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影像详情：影像设备类型、影像分辨率/层厚、格式规范、预处理后的统一尺寸；</w:t>
      </w:r>
    </w:p>
    <w:p w14:paraId="28D972A0">
      <w:pPr>
        <w:pStyle w:val="14"/>
        <w:numPr>
          <w:ilvl w:val="0"/>
          <w:numId w:val="1"/>
        </w:num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标注规范：开源数据集官方标注内容、标注流程、标签金标准（如肝病影像采用脂肪肝分级标准、糖尿病眼底影像采用DR国际分级标准、脑卒中影像采用ASPECTS评分标准）；</w:t>
      </w:r>
    </w:p>
    <w:p w14:paraId="3EFD367B">
      <w:pPr>
        <w:pStyle w:val="14"/>
        <w:numPr>
          <w:ilvl w:val="0"/>
          <w:numId w:val="1"/>
        </w:num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数据样例：展示1组开源数据集中的脱敏影像样本与标注结果。</w:t>
      </w:r>
    </w:p>
    <w:p w14:paraId="2D69F0FD">
      <w:pPr>
        <w:snapToGrid/>
        <w:spacing w:beforeAutospacing="0" w:afterAutospacing="0" w:line="560" w:lineRule="exact"/>
        <w:ind w:left="0" w:leftChars="0" w:right="0" w:rightChars="0" w:firstLine="482" w:firstLineChars="0"/>
        <w:jc w:val="left"/>
        <w:rPr>
          <w:rFonts w:ascii="仿宋" w:eastAsia="仿宋"/>
          <w:sz w:val="24"/>
        </w:rPr>
      </w:pPr>
    </w:p>
    <w:p w14:paraId="31F83912">
      <w:pPr>
        <w:pStyle w:val="3"/>
        <w:snapToGrid/>
        <w:spacing w:before="200" w:beforeAutospacing="0" w:after="100" w:afterAutospacing="0" w:line="240" w:lineRule="auto"/>
        <w:ind w:left="0" w:leftChars="0" w:right="0" w:rightChars="0" w:firstLine="0" w:firstLineChars="0"/>
        <w:jc w:val="left"/>
        <w:outlineLvl w:val="1"/>
        <w:rPr>
          <w:rFonts w:ascii="楷体" w:eastAsia="楷体"/>
          <w:b w:val="0"/>
          <w:color w:val="auto"/>
          <w:sz w:val="32"/>
        </w:rPr>
      </w:pPr>
      <w:r>
        <w:rPr>
          <w:rFonts w:ascii="楷体" w:eastAsia="楷体"/>
          <w:b w:val="0"/>
          <w:color w:val="auto"/>
          <w:sz w:val="32"/>
        </w:rPr>
        <w:t>3.3 分模态数据预处理全流程</w:t>
      </w:r>
    </w:p>
    <w:p w14:paraId="056EED40">
      <w:pPr>
        <w:pStyle w:val="4"/>
        <w:snapToGrid/>
        <w:spacing w:before="200" w:beforeAutospacing="0" w:after="100" w:afterAutospacing="0" w:line="240" w:lineRule="auto"/>
        <w:ind w:left="0" w:leftChars="0" w:right="0" w:rightChars="0" w:firstLine="0" w:firstLineChars="0"/>
        <w:jc w:val="left"/>
        <w:outlineLvl w:val="2"/>
        <w:rPr>
          <w:rFonts w:ascii="仿宋" w:eastAsia="仿宋"/>
          <w:b w:val="0"/>
          <w:color w:val="auto"/>
          <w:sz w:val="28"/>
        </w:rPr>
      </w:pPr>
      <w:r>
        <w:rPr>
          <w:rFonts w:ascii="仿宋" w:eastAsia="仿宋"/>
          <w:b w:val="0"/>
          <w:color w:val="auto"/>
          <w:sz w:val="28"/>
        </w:rPr>
        <w:t>3.3.1 结构化临床数据预处理（对应数据集1-3）</w:t>
      </w:r>
    </w:p>
    <w:p w14:paraId="0A7424A3">
      <w:p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详细说明全流程处理逻辑，体现数据处理的严谨性：</w:t>
      </w:r>
    </w:p>
    <w:p w14:paraId="2963BCF0">
      <w:pPr>
        <w:snapToGrid/>
        <w:spacing w:beforeAutospacing="0" w:afterAutospacing="0" w:line="560" w:lineRule="exact"/>
        <w:ind w:left="0" w:leftChars="0" w:right="0" w:rightChars="0" w:firstLine="482" w:firstLineChars="0"/>
        <w:jc w:val="left"/>
        <w:rPr>
          <w:rFonts w:ascii="仿宋" w:eastAsia="仿宋"/>
          <w:sz w:val="24"/>
        </w:rPr>
      </w:pPr>
    </w:p>
    <w:p w14:paraId="7035EAE1">
      <w:pPr>
        <w:pStyle w:val="14"/>
        <w:numPr>
          <w:ilvl w:val="0"/>
          <w:numId w:val="1"/>
        </w:num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数据清洗：异常值处理（3σ原则+临床合理区间截断）、缺失值处理（医疗场景适配的多重插补法，严禁随意删除样本）；</w:t>
      </w:r>
    </w:p>
    <w:p w14:paraId="1749DAE4">
      <w:pPr>
        <w:pStyle w:val="14"/>
        <w:numPr>
          <w:ilvl w:val="0"/>
          <w:numId w:val="1"/>
        </w:num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数据标准化：连续变量Z-score标准化、分类变量独热编码、有序变量序数编码；</w:t>
      </w:r>
    </w:p>
    <w:p w14:paraId="4597C43C">
      <w:pPr>
        <w:pStyle w:val="14"/>
        <w:numPr>
          <w:ilvl w:val="0"/>
          <w:numId w:val="1"/>
        </w:num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不平衡数据处理：针对医疗数据阳性样本占比低的问题，采用SMOTE过采样+类别加权损失函数，避免模型偏置；</w:t>
      </w:r>
    </w:p>
    <w:p w14:paraId="04AE6192">
      <w:pPr>
        <w:pStyle w:val="14"/>
        <w:numPr>
          <w:ilvl w:val="0"/>
          <w:numId w:val="1"/>
        </w:num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特征工程：基于互信息、LASSO回归、临床意义筛选核心特征，剔除冗余特征。</w:t>
      </w:r>
    </w:p>
    <w:p w14:paraId="307153C3">
      <w:pPr>
        <w:snapToGrid/>
        <w:spacing w:beforeAutospacing="0" w:afterAutospacing="0" w:line="560" w:lineRule="exact"/>
        <w:ind w:left="0" w:leftChars="0" w:right="0" w:rightChars="0" w:firstLine="482" w:firstLineChars="0"/>
        <w:jc w:val="left"/>
        <w:rPr>
          <w:rFonts w:ascii="仿宋" w:eastAsia="仿宋"/>
          <w:sz w:val="24"/>
        </w:rPr>
      </w:pPr>
    </w:p>
    <w:p w14:paraId="1A69E831">
      <w:pPr>
        <w:pStyle w:val="4"/>
        <w:snapToGrid/>
        <w:spacing w:before="200" w:beforeAutospacing="0" w:after="100" w:afterAutospacing="0" w:line="240" w:lineRule="auto"/>
        <w:ind w:left="0" w:leftChars="0" w:right="0" w:rightChars="0" w:firstLine="0" w:firstLineChars="0"/>
        <w:jc w:val="left"/>
        <w:outlineLvl w:val="2"/>
        <w:rPr>
          <w:rFonts w:ascii="仿宋" w:eastAsia="仿宋"/>
          <w:b w:val="0"/>
          <w:color w:val="auto"/>
          <w:sz w:val="28"/>
        </w:rPr>
      </w:pPr>
      <w:r>
        <w:rPr>
          <w:rFonts w:ascii="仿宋" w:eastAsia="仿宋"/>
          <w:b w:val="0"/>
          <w:color w:val="auto"/>
          <w:sz w:val="28"/>
        </w:rPr>
        <w:t>3.3.2 医学影像数据预处理（对应数据集4-6）</w:t>
      </w:r>
    </w:p>
    <w:p w14:paraId="2B23F4BC">
      <w:p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详细说明全流程处理逻辑，贴合医学影像专业规范：</w:t>
      </w:r>
    </w:p>
    <w:p w14:paraId="49BF1EA2">
      <w:pPr>
        <w:snapToGrid/>
        <w:spacing w:beforeAutospacing="0" w:afterAutospacing="0" w:line="560" w:lineRule="exact"/>
        <w:ind w:left="0" w:leftChars="0" w:right="0" w:rightChars="0" w:firstLine="482" w:firstLineChars="0"/>
        <w:jc w:val="left"/>
        <w:rPr>
          <w:rFonts w:ascii="仿宋" w:eastAsia="仿宋"/>
          <w:sz w:val="24"/>
        </w:rPr>
      </w:pPr>
    </w:p>
    <w:p w14:paraId="69ECB120">
      <w:pPr>
        <w:pStyle w:val="14"/>
        <w:numPr>
          <w:ilvl w:val="0"/>
          <w:numId w:val="1"/>
        </w:num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影像标准化：格式统一、尺寸归一化、灰度值归一化、重采样、去噪处理；</w:t>
      </w:r>
    </w:p>
    <w:p w14:paraId="7D9E8453">
      <w:pPr>
        <w:pStyle w:val="14"/>
        <w:numPr>
          <w:ilvl w:val="0"/>
          <w:numId w:val="1"/>
        </w:num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感兴趣区（ROI）提取：针对不同病种影像的病灶区域提取方法（如开源数据集官方标注ROI、基于阈值/形态学的自动分割）；</w:t>
      </w:r>
    </w:p>
    <w:p w14:paraId="2F3FA0FD">
      <w:pPr>
        <w:pStyle w:val="14"/>
        <w:numPr>
          <w:ilvl w:val="0"/>
          <w:numId w:val="1"/>
        </w:num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数据增强：针对医学影像小样本问题，采用随机翻转、旋转、缩放、对比度调整等增强策略，避免过拟合；</w:t>
      </w:r>
    </w:p>
    <w:p w14:paraId="3CEB6939">
      <w:pPr>
        <w:pStyle w:val="14"/>
        <w:numPr>
          <w:ilvl w:val="0"/>
          <w:numId w:val="1"/>
        </w:num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特征提取：影像组学模型明确一阶统计特征、纹理特征、形状特征提取流程；深度学习模型明确端到端特征提取逻辑。</w:t>
      </w:r>
    </w:p>
    <w:p w14:paraId="29651F8B">
      <w:pPr>
        <w:snapToGrid/>
        <w:spacing w:beforeAutospacing="0" w:afterAutospacing="0" w:line="560" w:lineRule="exact"/>
        <w:ind w:left="0" w:leftChars="0" w:right="0" w:rightChars="0" w:firstLine="482" w:firstLineChars="0"/>
        <w:jc w:val="left"/>
        <w:rPr>
          <w:rFonts w:ascii="仿宋" w:eastAsia="仿宋"/>
          <w:sz w:val="24"/>
        </w:rPr>
      </w:pPr>
    </w:p>
    <w:p w14:paraId="5A1711E2">
      <w:pPr>
        <w:rPr>
          <w:rFonts w:ascii="仿宋" w:eastAsia="仿宋"/>
          <w:sz w:val="24"/>
        </w:rPr>
      </w:pPr>
      <w:r>
        <w:rPr>
          <w:rFonts w:ascii="仿宋" w:eastAsia="仿宋"/>
          <w:sz w:val="24"/>
        </w:rPr>
        <w:br w:type="page"/>
      </w:r>
    </w:p>
    <w:p w14:paraId="2043C76A">
      <w:pPr>
        <w:pStyle w:val="2"/>
        <w:snapToGrid/>
        <w:spacing w:before="200" w:beforeAutospacing="0" w:after="100" w:afterAutospacing="0" w:line="240" w:lineRule="auto"/>
        <w:ind w:left="0" w:leftChars="0" w:right="0" w:rightChars="0" w:firstLine="0" w:firstLineChars="0"/>
        <w:jc w:val="left"/>
        <w:outlineLvl w:val="0"/>
        <w:rPr>
          <w:rFonts w:ascii="黑体" w:eastAsia="黑体"/>
          <w:b w:val="0"/>
          <w:color w:val="auto"/>
          <w:sz w:val="32"/>
        </w:rPr>
      </w:pPr>
      <w:r>
        <w:rPr>
          <w:rFonts w:ascii="黑体" w:eastAsia="黑体"/>
          <w:b w:val="0"/>
          <w:color w:val="auto"/>
          <w:sz w:val="32"/>
        </w:rPr>
        <w:t>第4章 核心技术方案（技术核心，必填，已适配三类个性化方案场景）</w:t>
      </w:r>
    </w:p>
    <w:p w14:paraId="3E2529F2">
      <w:p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填写规范】先总后分，先给整体技术框架，再分模块详解，重点讲原创工作，成熟技术简述并标注参考文献；6个模型结构化呈现，核心突出「双模态多模型协同决策机制」与「多维度个性化健康管理方案」，严格披露豆包大模型的使用方式，符合大赛合规要求。</w:t>
      </w:r>
    </w:p>
    <w:p w14:paraId="3FA8AC60">
      <w:pPr>
        <w:snapToGrid/>
        <w:spacing w:beforeAutospacing="0" w:afterAutospacing="0" w:line="560" w:lineRule="exact"/>
        <w:ind w:left="0" w:leftChars="0" w:right="0" w:rightChars="0" w:firstLine="482" w:firstLineChars="0"/>
        <w:jc w:val="left"/>
        <w:rPr>
          <w:rFonts w:ascii="仿宋" w:eastAsia="仿宋"/>
          <w:sz w:val="24"/>
        </w:rPr>
      </w:pPr>
    </w:p>
    <w:p w14:paraId="2F820B31">
      <w:pPr>
        <w:pStyle w:val="3"/>
        <w:snapToGrid/>
        <w:spacing w:before="200" w:beforeAutospacing="0" w:after="100" w:afterAutospacing="0" w:line="240" w:lineRule="auto"/>
        <w:ind w:left="0" w:leftChars="0" w:right="0" w:rightChars="0" w:firstLine="0" w:firstLineChars="0"/>
        <w:jc w:val="left"/>
        <w:outlineLvl w:val="1"/>
        <w:rPr>
          <w:rFonts w:ascii="楷体" w:eastAsia="楷体"/>
          <w:b w:val="0"/>
          <w:color w:val="auto"/>
          <w:sz w:val="32"/>
        </w:rPr>
      </w:pPr>
      <w:r>
        <w:rPr>
          <w:rFonts w:ascii="楷体" w:eastAsia="楷体"/>
          <w:b w:val="0"/>
          <w:color w:val="auto"/>
          <w:sz w:val="32"/>
        </w:rPr>
        <w:t>4.1 技术方案整体架构</w:t>
      </w:r>
    </w:p>
    <w:p w14:paraId="47CF7F7D">
      <w:p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b/>
          <w:bCs/>
          <w:sz w:val="24"/>
        </w:rPr>
        <w:t>必须配套核心技术框架图</w:t>
      </w:r>
      <w:r>
        <w:rPr>
          <w:rFonts w:ascii="仿宋" w:eastAsia="仿宋"/>
          <w:sz w:val="24"/>
        </w:rPr>
        <w:t>，明确整体技术分为6个核心模块：双模态数据预处理模块→单病种双模态6模型预测组→双模态协同决策模块→多维度可解释性分析模块→多维度个性化健康管理模块→3节点集群部署模块，讲清模块间的联动逻辑。</w:t>
      </w:r>
    </w:p>
    <w:p w14:paraId="448FD9FF">
      <w:pPr>
        <w:snapToGrid/>
        <w:spacing w:beforeAutospacing="0" w:afterAutospacing="0" w:line="560" w:lineRule="exact"/>
        <w:ind w:left="0" w:leftChars="0" w:right="0" w:rightChars="0" w:firstLine="482" w:firstLineChars="0"/>
        <w:jc w:val="left"/>
        <w:rPr>
          <w:rFonts w:ascii="仿宋" w:eastAsia="仿宋"/>
          <w:sz w:val="24"/>
        </w:rPr>
      </w:pPr>
    </w:p>
    <w:p w14:paraId="753AB5D3">
      <w:pPr>
        <w:pStyle w:val="3"/>
        <w:snapToGrid/>
        <w:spacing w:before="200" w:beforeAutospacing="0" w:after="100" w:afterAutospacing="0" w:line="240" w:lineRule="auto"/>
        <w:ind w:left="0" w:leftChars="0" w:right="0" w:rightChars="0" w:firstLine="0" w:firstLineChars="0"/>
        <w:jc w:val="left"/>
        <w:outlineLvl w:val="1"/>
        <w:rPr>
          <w:rFonts w:ascii="楷体" w:eastAsia="楷体"/>
          <w:b w:val="0"/>
          <w:color w:val="auto"/>
          <w:sz w:val="32"/>
        </w:rPr>
      </w:pPr>
      <w:r>
        <w:rPr>
          <w:rFonts w:ascii="楷体" w:eastAsia="楷体"/>
          <w:b w:val="0"/>
          <w:color w:val="auto"/>
          <w:sz w:val="32"/>
        </w:rPr>
        <w:t>4.2 前置说明：模型训练与部署边界（必填，明确真实场景，避免评审误解）</w:t>
      </w:r>
    </w:p>
    <w:p w14:paraId="366E32A3">
      <w:p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本作品所有6个模型的训练、超参数优化、离线验证全流程，均在本地高性能工作站完成；</w:t>
      </w:r>
      <w:r>
        <w:rPr>
          <w:rFonts w:ascii="仿宋" w:eastAsia="仿宋"/>
          <w:b/>
          <w:bCs/>
          <w:sz w:val="24"/>
        </w:rPr>
        <w:t>3节点物理集群仅用于平台线上服务与模型推理服务的生产级部署</w:t>
      </w:r>
      <w:r>
        <w:rPr>
          <w:rFonts w:ascii="仿宋" w:eastAsia="仿宋"/>
          <w:sz w:val="24"/>
        </w:rPr>
        <w:t>，无任何集群内模型训练环节。所有模型统一采用</w:t>
      </w:r>
      <w:r>
        <w:rPr>
          <w:rFonts w:ascii="仿宋" w:eastAsia="仿宋"/>
          <w:b/>
          <w:bCs/>
          <w:sz w:val="24"/>
        </w:rPr>
        <w:t>AUC-ROC、AUC-PR、精准率、召回率、F1值、特异性</w:t>
      </w:r>
      <w:r>
        <w:rPr>
          <w:rFonts w:ascii="仿宋" w:eastAsia="仿宋"/>
          <w:sz w:val="24"/>
        </w:rPr>
        <w:t>作为评价指标，符合医疗AI行业通用规范。</w:t>
      </w:r>
    </w:p>
    <w:p w14:paraId="5FF367C9">
      <w:pPr>
        <w:snapToGrid/>
        <w:spacing w:beforeAutospacing="0" w:afterAutospacing="0" w:line="560" w:lineRule="exact"/>
        <w:ind w:left="0" w:leftChars="0" w:right="0" w:rightChars="0" w:firstLine="482" w:firstLineChars="0"/>
        <w:jc w:val="left"/>
        <w:rPr>
          <w:rFonts w:ascii="仿宋" w:eastAsia="仿宋"/>
          <w:sz w:val="24"/>
        </w:rPr>
      </w:pPr>
    </w:p>
    <w:p w14:paraId="6A32A0A1">
      <w:pPr>
        <w:pStyle w:val="3"/>
        <w:snapToGrid/>
        <w:spacing w:before="200" w:beforeAutospacing="0" w:after="100" w:afterAutospacing="0" w:line="240" w:lineRule="auto"/>
        <w:ind w:left="0" w:leftChars="0" w:right="0" w:rightChars="0" w:firstLine="0" w:firstLineChars="0"/>
        <w:jc w:val="left"/>
        <w:outlineLvl w:val="1"/>
        <w:rPr>
          <w:rFonts w:ascii="楷体" w:eastAsia="楷体"/>
          <w:b w:val="0"/>
          <w:color w:val="auto"/>
          <w:sz w:val="32"/>
        </w:rPr>
      </w:pPr>
      <w:r>
        <w:rPr>
          <w:rFonts w:ascii="楷体" w:eastAsia="楷体"/>
          <w:b w:val="0"/>
          <w:color w:val="auto"/>
          <w:sz w:val="32"/>
        </w:rPr>
        <w:t>4.3 单病种双模态6模型预测组构建</w:t>
      </w:r>
    </w:p>
    <w:p w14:paraId="7F0B3D34">
      <w:pPr>
        <w:pStyle w:val="4"/>
        <w:snapToGrid/>
        <w:spacing w:before="200" w:beforeAutospacing="0" w:after="100" w:afterAutospacing="0" w:line="240" w:lineRule="auto"/>
        <w:ind w:left="0" w:leftChars="0" w:right="0" w:rightChars="0" w:firstLine="0" w:firstLineChars="0"/>
        <w:jc w:val="left"/>
        <w:outlineLvl w:val="2"/>
        <w:rPr>
          <w:rFonts w:ascii="仿宋" w:eastAsia="仿宋"/>
          <w:b w:val="0"/>
          <w:color w:val="auto"/>
          <w:sz w:val="28"/>
        </w:rPr>
      </w:pPr>
      <w:r>
        <w:rPr>
          <w:rFonts w:ascii="仿宋" w:eastAsia="仿宋"/>
          <w:b w:val="0"/>
          <w:color w:val="auto"/>
          <w:sz w:val="28"/>
        </w:rPr>
        <w:t>4.3.1 结构化数据单病预测模型组（3个模型，对应数据集1-3）</w:t>
      </w:r>
    </w:p>
    <w:p w14:paraId="6951D99C">
      <w:p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分3小节，分别对应3个病种的结构化模型，每个模型明确：</w:t>
      </w:r>
    </w:p>
    <w:p w14:paraId="1E6AABB0">
      <w:pPr>
        <w:snapToGrid/>
        <w:spacing w:beforeAutospacing="0" w:afterAutospacing="0" w:line="560" w:lineRule="exact"/>
        <w:ind w:left="0" w:leftChars="0" w:right="0" w:rightChars="0" w:firstLine="482" w:firstLineChars="0"/>
        <w:jc w:val="left"/>
        <w:rPr>
          <w:rFonts w:ascii="仿宋" w:eastAsia="仿宋"/>
          <w:sz w:val="24"/>
        </w:rPr>
      </w:pPr>
    </w:p>
    <w:p w14:paraId="3EB94EB9">
      <w:pPr>
        <w:pStyle w:val="14"/>
        <w:numPr>
          <w:ilvl w:val="0"/>
          <w:numId w:val="1"/>
        </w:num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模型选型依据：对比逻辑回归、XGBoost、LightGBM等基线模型的性能，选定最优基模型，标注参考文献；</w:t>
      </w:r>
    </w:p>
    <w:p w14:paraId="2C67CF65">
      <w:pPr>
        <w:pStyle w:val="14"/>
        <w:numPr>
          <w:ilvl w:val="0"/>
          <w:numId w:val="1"/>
        </w:num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输入特征：预处理后的结构化核心特征集；</w:t>
      </w:r>
    </w:p>
    <w:p w14:paraId="1586E440">
      <w:pPr>
        <w:pStyle w:val="14"/>
        <w:numPr>
          <w:ilvl w:val="0"/>
          <w:numId w:val="1"/>
        </w:num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标签定义：对应病种的临床金标准标签；</w:t>
      </w:r>
    </w:p>
    <w:p w14:paraId="1D5C565F">
      <w:pPr>
        <w:pStyle w:val="14"/>
        <w:numPr>
          <w:ilvl w:val="0"/>
          <w:numId w:val="1"/>
        </w:num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模型结构与优化：核心模型结构、超参数优化方法（网格搜索/贝叶斯优化）、正则化策略、过拟合防控方案；</w:t>
      </w:r>
    </w:p>
    <w:p w14:paraId="41ED1577">
      <w:pPr>
        <w:pStyle w:val="14"/>
        <w:numPr>
          <w:ilvl w:val="0"/>
          <w:numId w:val="1"/>
        </w:num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训练策略：5折交叉验证、分层划分数据集、早停机制。</w:t>
      </w:r>
    </w:p>
    <w:p w14:paraId="44AF6D92">
      <w:pPr>
        <w:snapToGrid/>
        <w:spacing w:beforeAutospacing="0" w:afterAutospacing="0" w:line="560" w:lineRule="exact"/>
        <w:ind w:left="0" w:leftChars="0" w:right="0" w:rightChars="0" w:firstLine="482" w:firstLineChars="0"/>
        <w:jc w:val="left"/>
        <w:rPr>
          <w:rFonts w:ascii="仿宋" w:eastAsia="仿宋"/>
          <w:sz w:val="24"/>
        </w:rPr>
      </w:pPr>
    </w:p>
    <w:p w14:paraId="2CFB6C5D">
      <w:pPr>
        <w:pStyle w:val="4"/>
        <w:snapToGrid/>
        <w:spacing w:before="200" w:beforeAutospacing="0" w:after="100" w:afterAutospacing="0" w:line="240" w:lineRule="auto"/>
        <w:ind w:left="0" w:leftChars="0" w:right="0" w:rightChars="0" w:firstLine="0" w:firstLineChars="0"/>
        <w:jc w:val="left"/>
        <w:outlineLvl w:val="2"/>
        <w:rPr>
          <w:rFonts w:ascii="仿宋" w:eastAsia="仿宋"/>
          <w:b w:val="0"/>
          <w:color w:val="auto"/>
          <w:sz w:val="28"/>
        </w:rPr>
      </w:pPr>
      <w:r>
        <w:rPr>
          <w:rFonts w:ascii="仿宋" w:eastAsia="仿宋"/>
          <w:b w:val="0"/>
          <w:color w:val="auto"/>
          <w:sz w:val="28"/>
        </w:rPr>
        <w:t>4.3.2 影像数据单病预测模型组（3个模型，对应数据集4-6）</w:t>
      </w:r>
    </w:p>
    <w:p w14:paraId="7066AAC8">
      <w:p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分3小节，分别对应3个病种的影像模型，每个模型明确：</w:t>
      </w:r>
    </w:p>
    <w:p w14:paraId="226383D4">
      <w:pPr>
        <w:snapToGrid/>
        <w:spacing w:beforeAutospacing="0" w:afterAutospacing="0" w:line="560" w:lineRule="exact"/>
        <w:ind w:left="0" w:leftChars="0" w:right="0" w:rightChars="0" w:firstLine="482" w:firstLineChars="0"/>
        <w:jc w:val="left"/>
        <w:rPr>
          <w:rFonts w:ascii="仿宋" w:eastAsia="仿宋"/>
          <w:sz w:val="24"/>
        </w:rPr>
      </w:pPr>
    </w:p>
    <w:p w14:paraId="54C25701">
      <w:pPr>
        <w:pStyle w:val="14"/>
        <w:numPr>
          <w:ilvl w:val="0"/>
          <w:numId w:val="1"/>
        </w:num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模型选型依据：对比影像组学+传统机器学习、CNN经典网络（ResNet、EfficientNet等）基线模型的性能，选定最优架构，标注参考文献；</w:t>
      </w:r>
    </w:p>
    <w:p w14:paraId="3239EB9C">
      <w:pPr>
        <w:pStyle w:val="14"/>
        <w:numPr>
          <w:ilvl w:val="0"/>
          <w:numId w:val="1"/>
        </w:num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输入数据：预处理后的标准化影像数据/ROI区域；</w:t>
      </w:r>
    </w:p>
    <w:p w14:paraId="4E595C43">
      <w:pPr>
        <w:pStyle w:val="14"/>
        <w:numPr>
          <w:ilvl w:val="0"/>
          <w:numId w:val="1"/>
        </w:num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标签定义：对应病种的影像诊断金标准标签；</w:t>
      </w:r>
    </w:p>
    <w:p w14:paraId="5DCC2B8A">
      <w:pPr>
        <w:pStyle w:val="14"/>
        <w:numPr>
          <w:ilvl w:val="0"/>
          <w:numId w:val="1"/>
        </w:num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模型结构与优化：核心网络架构、迁移学习策略（医学影像预训练权重微调）、损失函数设计、正则化策略；</w:t>
      </w:r>
    </w:p>
    <w:p w14:paraId="74AC67FB">
      <w:pPr>
        <w:pStyle w:val="14"/>
        <w:numPr>
          <w:ilvl w:val="0"/>
          <w:numId w:val="1"/>
        </w:num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训练策略：5折交叉验证、数据集划分、数据增强策略、学习率衰减、早停机制。</w:t>
      </w:r>
    </w:p>
    <w:p w14:paraId="3CBB6E0B">
      <w:pPr>
        <w:snapToGrid/>
        <w:spacing w:beforeAutospacing="0" w:afterAutospacing="0" w:line="560" w:lineRule="exact"/>
        <w:ind w:left="0" w:leftChars="0" w:right="0" w:rightChars="0" w:firstLine="482" w:firstLineChars="0"/>
        <w:jc w:val="left"/>
        <w:rPr>
          <w:rFonts w:ascii="仿宋" w:eastAsia="仿宋"/>
          <w:sz w:val="24"/>
        </w:rPr>
      </w:pPr>
    </w:p>
    <w:p w14:paraId="742886BD">
      <w:pPr>
        <w:pStyle w:val="3"/>
        <w:snapToGrid/>
        <w:spacing w:before="200" w:beforeAutospacing="0" w:after="100" w:afterAutospacing="0" w:line="240" w:lineRule="auto"/>
        <w:ind w:left="0" w:leftChars="0" w:right="0" w:rightChars="0" w:firstLine="0" w:firstLineChars="0"/>
        <w:jc w:val="left"/>
        <w:outlineLvl w:val="1"/>
        <w:rPr>
          <w:rFonts w:ascii="楷体" w:eastAsia="楷体"/>
          <w:b w:val="0"/>
          <w:color w:val="auto"/>
          <w:sz w:val="32"/>
        </w:rPr>
      </w:pPr>
      <w:r>
        <w:rPr>
          <w:rFonts w:ascii="楷体" w:eastAsia="楷体"/>
          <w:b w:val="0"/>
          <w:color w:val="auto"/>
          <w:sz w:val="32"/>
        </w:rPr>
        <w:t>4.4 双模态多模型协同决策机制（核心创新点，必填，拉开与普通作品的差距）</w:t>
      </w:r>
    </w:p>
    <w:p w14:paraId="136BDEC7">
      <w:p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【填写规范】详细说明协同决策的设计逻辑、实现方式、临床依据，证明6个模型的协同价值，解决单模态数据的局限性。</w:t>
      </w:r>
    </w:p>
    <w:p w14:paraId="0C8D4378">
      <w:pPr>
        <w:snapToGrid/>
        <w:spacing w:beforeAutospacing="0" w:afterAutospacing="0" w:line="560" w:lineRule="exact"/>
        <w:ind w:left="0" w:leftChars="0" w:right="0" w:rightChars="0" w:firstLine="482" w:firstLineChars="0"/>
        <w:jc w:val="left"/>
        <w:rPr>
          <w:rFonts w:ascii="仿宋" w:eastAsia="仿宋"/>
          <w:sz w:val="24"/>
        </w:rPr>
      </w:pPr>
    </w:p>
    <w:p w14:paraId="03F38F6F">
      <w:p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【适配本作品示例框架】</w:t>
      </w:r>
    </w:p>
    <w:p w14:paraId="3A449944">
      <w:pPr>
        <w:snapToGrid/>
        <w:spacing w:beforeAutospacing="0" w:afterAutospacing="0" w:line="560" w:lineRule="exact"/>
        <w:ind w:left="0" w:leftChars="0" w:right="0" w:rightChars="0" w:firstLine="482" w:firstLineChars="0"/>
        <w:jc w:val="left"/>
        <w:rPr>
          <w:rFonts w:ascii="仿宋" w:eastAsia="仿宋"/>
          <w:sz w:val="24"/>
        </w:rPr>
      </w:pPr>
    </w:p>
    <w:p w14:paraId="39BDF714">
      <w:p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针对结构化数据可覆盖全维度危险因素、影像数据可直观反映病灶病变程度的互补优势，本作品构建了</w:t>
      </w:r>
      <w:r>
        <w:rPr>
          <w:rFonts w:ascii="仿宋" w:eastAsia="仿宋"/>
          <w:b/>
          <w:bCs/>
          <w:sz w:val="24"/>
        </w:rPr>
        <w:t>双阶段加权融合协同决策机制</w:t>
      </w:r>
      <w:r>
        <w:rPr>
          <w:rFonts w:ascii="仿宋" w:eastAsia="仿宋"/>
          <w:sz w:val="24"/>
        </w:rPr>
        <w:t>，实现6个模型的有机联动，解决单模态早筛漏检率高的痛点：</w:t>
      </w:r>
    </w:p>
    <w:p w14:paraId="3C9FE7C2">
      <w:pPr>
        <w:snapToGrid/>
        <w:spacing w:beforeAutospacing="0" w:afterAutospacing="0" w:line="560" w:lineRule="exact"/>
        <w:ind w:left="0" w:leftChars="0" w:right="0" w:rightChars="0" w:firstLine="482" w:firstLineChars="0"/>
        <w:jc w:val="left"/>
        <w:rPr>
          <w:rFonts w:ascii="仿宋" w:eastAsia="仿宋"/>
          <w:sz w:val="24"/>
        </w:rPr>
      </w:pPr>
    </w:p>
    <w:p w14:paraId="5FCACA88">
      <w:p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1. 第一阶段：单模态独立预测，3个结构化模型与3个影像模型分别输出对应病种的风险概率与风险分级（低危/中危/高危）；</w:t>
      </w:r>
    </w:p>
    <w:p w14:paraId="08A46E59">
      <w:p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2. 第二阶段：基于D-S证据理论/逻辑回归加权融合，结合临床先验知识设置双模态权重，输出最终的双模态协同预测结果；</w:t>
      </w:r>
    </w:p>
    <w:p w14:paraId="7CE56D85">
      <w:p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3. 分级临床适配逻辑：针对结构化初筛中高危人群，自动触发对应病种的影像模型精准验证，进一步提升早筛准确率，降低假阳性率。</w:t>
      </w:r>
    </w:p>
    <w:p w14:paraId="7419D966">
      <w:pPr>
        <w:snapToGrid/>
        <w:spacing w:beforeAutospacing="0" w:afterAutospacing="0" w:line="560" w:lineRule="exact"/>
        <w:ind w:left="0" w:leftChars="0" w:right="0" w:rightChars="0" w:firstLine="482" w:firstLineChars="0"/>
        <w:jc w:val="left"/>
        <w:rPr>
          <w:rFonts w:ascii="仿宋" w:eastAsia="仿宋"/>
          <w:sz w:val="24"/>
        </w:rPr>
      </w:pPr>
    </w:p>
    <w:p w14:paraId="419AACAA">
      <w:pPr>
        <w:pStyle w:val="3"/>
        <w:snapToGrid/>
        <w:spacing w:before="200" w:beforeAutospacing="0" w:after="100" w:afterAutospacing="0" w:line="240" w:lineRule="auto"/>
        <w:ind w:left="0" w:leftChars="0" w:right="0" w:rightChars="0" w:firstLine="0" w:firstLineChars="0"/>
        <w:jc w:val="left"/>
        <w:outlineLvl w:val="1"/>
        <w:rPr>
          <w:rFonts w:ascii="楷体" w:eastAsia="楷体"/>
          <w:b w:val="0"/>
          <w:color w:val="auto"/>
          <w:sz w:val="32"/>
        </w:rPr>
      </w:pPr>
      <w:r>
        <w:rPr>
          <w:rFonts w:ascii="楷体" w:eastAsia="楷体"/>
          <w:b w:val="0"/>
          <w:color w:val="auto"/>
          <w:sz w:val="32"/>
        </w:rPr>
        <w:t>4.5 多维度模型可解释性分析模块（医疗作品必填，决定临床落地性）</w:t>
      </w:r>
    </w:p>
    <w:p w14:paraId="0F7DEAB3">
      <w:p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1. 结构化模型可解释性：基于SHAP/LIME实现全局特征重要性排序、单样本危险因素贡献度可视化，明确每个临床指标对风险结果的影响；</w:t>
      </w:r>
    </w:p>
    <w:p w14:paraId="0FCDF948">
      <w:p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2. 影像模型可解释性：基于Grad-CAM实现病灶区域热力图可视化，直观展示模型关注的影像病灶区域，匹配临床医师诊断逻辑；</w:t>
      </w:r>
    </w:p>
    <w:p w14:paraId="4F19BF90">
      <w:p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3. 协同决策可解释性：明确双模态融合的权重依据与决策逻辑，全流程透明化，避免黑箱模型。</w:t>
      </w:r>
    </w:p>
    <w:p w14:paraId="618FBEEE">
      <w:pPr>
        <w:snapToGrid/>
        <w:spacing w:beforeAutospacing="0" w:afterAutospacing="0" w:line="560" w:lineRule="exact"/>
        <w:ind w:left="0" w:leftChars="0" w:right="0" w:rightChars="0" w:firstLine="482" w:firstLineChars="0"/>
        <w:jc w:val="left"/>
        <w:rPr>
          <w:rFonts w:ascii="仿宋" w:eastAsia="仿宋"/>
          <w:sz w:val="24"/>
        </w:rPr>
      </w:pPr>
    </w:p>
    <w:p w14:paraId="027026A5">
      <w:pPr>
        <w:pStyle w:val="3"/>
        <w:snapToGrid/>
        <w:spacing w:before="200" w:beforeAutospacing="0" w:after="100" w:afterAutospacing="0" w:line="240" w:lineRule="auto"/>
        <w:ind w:left="0" w:leftChars="0" w:right="0" w:rightChars="0" w:firstLine="0" w:firstLineChars="0"/>
        <w:jc w:val="left"/>
        <w:outlineLvl w:val="1"/>
        <w:rPr>
          <w:rFonts w:ascii="楷体" w:eastAsia="楷体"/>
          <w:b w:val="0"/>
          <w:color w:val="auto"/>
          <w:sz w:val="32"/>
        </w:rPr>
      </w:pPr>
      <w:r>
        <w:rPr>
          <w:rFonts w:ascii="楷体" w:eastAsia="楷体"/>
          <w:b w:val="0"/>
          <w:color w:val="auto"/>
          <w:sz w:val="32"/>
        </w:rPr>
        <w:t>4.6 多维度个性化健康管理模块（核心适配调整内容，必填，分3个子模块）</w:t>
      </w:r>
    </w:p>
    <w:p w14:paraId="38B8CE16">
      <w:p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基于《中国2型糖尿病防治指南2024版》等最新临床指南，构建多维度健康管理体系，包含3个核心子模块，全流程符合医疗合规要求：</w:t>
      </w:r>
    </w:p>
    <w:p w14:paraId="36B686B4">
      <w:pPr>
        <w:snapToGrid/>
        <w:spacing w:beforeAutospacing="0" w:afterAutospacing="0" w:line="560" w:lineRule="exact"/>
        <w:ind w:left="0" w:leftChars="0" w:right="0" w:rightChars="0" w:firstLine="482" w:firstLineChars="0"/>
        <w:jc w:val="left"/>
        <w:rPr>
          <w:rFonts w:ascii="仿宋" w:eastAsia="仿宋"/>
          <w:sz w:val="24"/>
        </w:rPr>
      </w:pPr>
    </w:p>
    <w:p w14:paraId="044CE1DC">
      <w:pPr>
        <w:pStyle w:val="4"/>
        <w:snapToGrid/>
        <w:spacing w:before="200" w:beforeAutospacing="0" w:after="100" w:afterAutospacing="0" w:line="240" w:lineRule="auto"/>
        <w:ind w:left="0" w:leftChars="0" w:right="0" w:rightChars="0" w:firstLine="0" w:firstLineChars="0"/>
        <w:jc w:val="left"/>
        <w:outlineLvl w:val="2"/>
        <w:rPr>
          <w:rFonts w:ascii="仿宋" w:eastAsia="仿宋"/>
          <w:b w:val="0"/>
          <w:color w:val="auto"/>
          <w:sz w:val="28"/>
        </w:rPr>
      </w:pPr>
      <w:r>
        <w:rPr>
          <w:rFonts w:ascii="仿宋" w:eastAsia="仿宋"/>
          <w:b w:val="0"/>
          <w:color w:val="auto"/>
          <w:sz w:val="28"/>
        </w:rPr>
        <w:t>4.6.1 慢病科普文章智能推荐</w:t>
      </w:r>
    </w:p>
    <w:p w14:paraId="6361EF93">
      <w:pPr>
        <w:pStyle w:val="14"/>
        <w:numPr>
          <w:ilvl w:val="0"/>
          <w:numId w:val="1"/>
        </w:num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推荐库来源：国家卫生健康委员会、中华医学会、中国疾病预防控制中心发布的官方权威慢病科普文章，构建结构化科普文章库，标注对应病种、危险因素、适用人群标签；</w:t>
      </w:r>
    </w:p>
    <w:p w14:paraId="609CFD94">
      <w:pPr>
        <w:pStyle w:val="14"/>
        <w:numPr>
          <w:ilvl w:val="0"/>
          <w:numId w:val="1"/>
        </w:num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推荐算法：基于用户的病种风险分级、核心危险因素、基础健康信息，采用TF-IDF+余弦相似度算法，匹配最贴合用户需求的科普文章，实现精准推送，帮助用户了解慢病防控知识。</w:t>
      </w:r>
    </w:p>
    <w:p w14:paraId="4513646F">
      <w:pPr>
        <w:snapToGrid/>
        <w:spacing w:beforeAutospacing="0" w:afterAutospacing="0" w:line="560" w:lineRule="exact"/>
        <w:ind w:left="0" w:leftChars="0" w:right="0" w:rightChars="0" w:firstLine="482" w:firstLineChars="0"/>
        <w:jc w:val="left"/>
        <w:rPr>
          <w:rFonts w:ascii="仿宋" w:eastAsia="仿宋"/>
          <w:sz w:val="24"/>
        </w:rPr>
      </w:pPr>
    </w:p>
    <w:p w14:paraId="6B85653D">
      <w:pPr>
        <w:pStyle w:val="4"/>
        <w:snapToGrid/>
        <w:spacing w:before="200" w:beforeAutospacing="0" w:after="100" w:afterAutospacing="0" w:line="240" w:lineRule="auto"/>
        <w:ind w:left="0" w:leftChars="0" w:right="0" w:rightChars="0" w:firstLine="0" w:firstLineChars="0"/>
        <w:jc w:val="left"/>
        <w:outlineLvl w:val="2"/>
        <w:rPr>
          <w:rFonts w:ascii="仿宋" w:eastAsia="仿宋"/>
          <w:b w:val="0"/>
          <w:color w:val="auto"/>
          <w:sz w:val="28"/>
        </w:rPr>
      </w:pPr>
      <w:r>
        <w:rPr>
          <w:rFonts w:ascii="仿宋" w:eastAsia="仿宋"/>
          <w:b w:val="0"/>
          <w:color w:val="auto"/>
          <w:sz w:val="28"/>
        </w:rPr>
        <w:t>4.6.2 周边医疗机构精准推荐</w:t>
      </w:r>
    </w:p>
    <w:p w14:paraId="73777901">
      <w:pPr>
        <w:pStyle w:val="14"/>
        <w:numPr>
          <w:ilvl w:val="0"/>
          <w:numId w:val="1"/>
        </w:num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推荐逻辑：基于用户的地理位置授权、病种风险结果、就医需求，构建多维度匹配规则；</w:t>
      </w:r>
    </w:p>
    <w:p w14:paraId="0C27DDF5">
      <w:pPr>
        <w:pStyle w:val="14"/>
        <w:numPr>
          <w:ilvl w:val="0"/>
          <w:numId w:val="1"/>
        </w:num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推荐维度：① 距离维度：优先推荐用户周边3-10公里内的医疗机构；② 专业维度：匹配对应病种的重点科室、专科等级；③ 等级维度：优先推荐社区卫生服务中心、二级及以上公立医院，适配基层首诊与分级诊疗要求；</w:t>
      </w:r>
    </w:p>
    <w:p w14:paraId="2A145B37">
      <w:pPr>
        <w:pStyle w:val="14"/>
        <w:numPr>
          <w:ilvl w:val="0"/>
          <w:numId w:val="1"/>
        </w:num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实现方式：基于高德/百度地图开放平台API获取医疗机构公开信息，结合规则引擎实现精准排序与推荐，为用户提供就近就医、专科就医指引。</w:t>
      </w:r>
    </w:p>
    <w:p w14:paraId="55C95769">
      <w:pPr>
        <w:snapToGrid/>
        <w:spacing w:beforeAutospacing="0" w:afterAutospacing="0" w:line="560" w:lineRule="exact"/>
        <w:ind w:left="0" w:leftChars="0" w:right="0" w:rightChars="0" w:firstLine="482" w:firstLineChars="0"/>
        <w:jc w:val="left"/>
        <w:rPr>
          <w:rFonts w:ascii="仿宋" w:eastAsia="仿宋"/>
          <w:sz w:val="24"/>
        </w:rPr>
      </w:pPr>
    </w:p>
    <w:p w14:paraId="2ABE257C">
      <w:pPr>
        <w:pStyle w:val="4"/>
        <w:snapToGrid/>
        <w:spacing w:before="200" w:beforeAutospacing="0" w:after="100" w:afterAutospacing="0" w:line="240" w:lineRule="auto"/>
        <w:ind w:left="0" w:leftChars="0" w:right="0" w:rightChars="0" w:firstLine="0" w:firstLineChars="0"/>
        <w:jc w:val="left"/>
        <w:outlineLvl w:val="2"/>
        <w:rPr>
          <w:rFonts w:ascii="仿宋" w:eastAsia="仿宋"/>
          <w:b w:val="0"/>
          <w:color w:val="auto"/>
          <w:sz w:val="28"/>
        </w:rPr>
      </w:pPr>
      <w:r>
        <w:rPr>
          <w:rFonts w:ascii="仿宋" w:eastAsia="仿宋"/>
          <w:b w:val="0"/>
          <w:color w:val="auto"/>
          <w:sz w:val="28"/>
        </w:rPr>
        <w:t>4.6.3 基于豆包大模型的个性化健康干预方案生成</w:t>
      </w:r>
    </w:p>
    <w:p w14:paraId="769CED11">
      <w:p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【必填：严格明确大模型使用边界、输入输出、合规约束，符合大赛披露要求与医疗合规要求】</w:t>
      </w:r>
    </w:p>
    <w:p w14:paraId="3673AF70">
      <w:pPr>
        <w:snapToGrid/>
        <w:spacing w:beforeAutospacing="0" w:afterAutospacing="0" w:line="560" w:lineRule="exact"/>
        <w:ind w:left="0" w:leftChars="0" w:right="0" w:rightChars="0" w:firstLine="482" w:firstLineChars="0"/>
        <w:jc w:val="left"/>
        <w:rPr>
          <w:rFonts w:ascii="仿宋" w:eastAsia="仿宋"/>
          <w:sz w:val="24"/>
        </w:rPr>
      </w:pPr>
    </w:p>
    <w:p w14:paraId="40CD1A87">
      <w:p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1. 核心定位：豆包大模型仅用于</w:t>
      </w:r>
      <w:r>
        <w:rPr>
          <w:rFonts w:ascii="仿宋" w:eastAsia="仿宋"/>
          <w:b/>
          <w:bCs/>
          <w:sz w:val="24"/>
        </w:rPr>
        <w:t>个性化健康干预方案的文本生成与润色</w:t>
      </w:r>
      <w:r>
        <w:rPr>
          <w:rFonts w:ascii="仿宋" w:eastAsia="仿宋"/>
          <w:sz w:val="24"/>
        </w:rPr>
        <w:t>，核心干预规则严格遵循国家临床指南，不涉及任何医疗诊断、处方开具等违规行为，生成内容仅作为健康管理参考，不构成医疗建议。</w:t>
      </w:r>
    </w:p>
    <w:p w14:paraId="4B524916">
      <w:p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2. 输入内容：用户的年龄、性别、基础健康信息、病种风险分级、核心可修正危险因素（如BMI超标、血糖偏高、久坐习惯等）、饮食运动偏好，以及预设的临床指南干预规则框架。</w:t>
      </w:r>
    </w:p>
    <w:p w14:paraId="0E16C8CE">
      <w:p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3. Prompt工程与约束设置：预设严格的Prompt模板，明确要求：① 必须严格遵循对应病种的国家临床指南，不得生成超指南内容；② 禁止生成疾病诊断、处方药建议、手术治疗等违规医疗内容；③ 必须结合用户的个体情况生成个性化、可落地的饮食、运动、生活方式调整、随访建议；④ 必须标注「本方案仅为健康管理参考，不构成医疗建议，身体不适请及时就医」的合规提示。</w:t>
      </w:r>
    </w:p>
    <w:p w14:paraId="46072C94">
      <w:p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4. 内容审核机制：生成的干预方案需经过预设的敏感词过滤、指南合规性校验，同时支持医护人员人工审核，确保内容合规、科学、安全。</w:t>
      </w:r>
    </w:p>
    <w:p w14:paraId="33209B0A">
      <w:p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5. 优化模块：通过大模型实现干预方案的个性化适配，解决传统干预方案同质化、可读性差、用户依从性低的问题。</w:t>
      </w:r>
    </w:p>
    <w:p w14:paraId="3C9D5315">
      <w:pPr>
        <w:snapToGrid/>
        <w:spacing w:beforeAutospacing="0" w:afterAutospacing="0" w:line="560" w:lineRule="exact"/>
        <w:ind w:left="0" w:leftChars="0" w:right="0" w:rightChars="0" w:firstLine="482" w:firstLineChars="0"/>
        <w:jc w:val="left"/>
        <w:rPr>
          <w:rFonts w:ascii="仿宋" w:eastAsia="仿宋"/>
          <w:sz w:val="24"/>
        </w:rPr>
      </w:pPr>
    </w:p>
    <w:p w14:paraId="55DA740A">
      <w:pPr>
        <w:rPr>
          <w:rFonts w:ascii="黑体" w:eastAsia="黑体"/>
          <w:b w:val="0"/>
          <w:color w:val="auto"/>
          <w:sz w:val="32"/>
        </w:rPr>
      </w:pPr>
      <w:r>
        <w:rPr>
          <w:rFonts w:ascii="黑体" w:eastAsia="黑体"/>
          <w:b w:val="0"/>
          <w:color w:val="auto"/>
          <w:sz w:val="32"/>
        </w:rPr>
        <w:br w:type="page"/>
      </w:r>
    </w:p>
    <w:p w14:paraId="55C52402">
      <w:pPr>
        <w:pStyle w:val="2"/>
        <w:snapToGrid/>
        <w:spacing w:before="200" w:beforeAutospacing="0" w:after="100" w:afterAutospacing="0" w:line="240" w:lineRule="auto"/>
        <w:ind w:left="0" w:leftChars="0" w:right="0" w:rightChars="0" w:firstLine="0" w:firstLineChars="0"/>
        <w:jc w:val="left"/>
        <w:outlineLvl w:val="0"/>
        <w:rPr>
          <w:rFonts w:ascii="黑体" w:eastAsia="黑体"/>
          <w:b w:val="0"/>
          <w:color w:val="auto"/>
          <w:sz w:val="32"/>
        </w:rPr>
      </w:pPr>
      <w:r>
        <w:rPr>
          <w:rFonts w:ascii="黑体" w:eastAsia="黑体"/>
          <w:b w:val="0"/>
          <w:color w:val="auto"/>
          <w:sz w:val="32"/>
        </w:rPr>
        <w:t>第5章 系统工程实现（必填，已适配3台电脑集群真实场景）</w:t>
      </w:r>
    </w:p>
    <w:p w14:paraId="35D78CD1">
      <w:p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填写规范】从工程角度详解技术方案的落地实现，重点讲前端平台、6模型推理服务封装、3节点集群部署，配套核心功能界面截图，所有截图必须带编号题注，完全贴合3台电脑的真实部署场景，不夸大、不虚构。</w:t>
      </w:r>
    </w:p>
    <w:p w14:paraId="697B72F5">
      <w:pPr>
        <w:snapToGrid/>
        <w:spacing w:beforeAutospacing="0" w:afterAutospacing="0" w:line="560" w:lineRule="exact"/>
        <w:ind w:left="0" w:leftChars="0" w:right="0" w:rightChars="0" w:firstLine="482" w:firstLineChars="0"/>
        <w:jc w:val="left"/>
        <w:rPr>
          <w:rFonts w:ascii="仿宋" w:eastAsia="仿宋"/>
          <w:sz w:val="24"/>
        </w:rPr>
      </w:pPr>
    </w:p>
    <w:p w14:paraId="17E6580F">
      <w:pPr>
        <w:pStyle w:val="3"/>
        <w:snapToGrid/>
        <w:spacing w:before="200" w:beforeAutospacing="0" w:after="100" w:afterAutospacing="0" w:line="240" w:lineRule="auto"/>
        <w:ind w:left="0" w:leftChars="0" w:right="0" w:rightChars="0" w:firstLine="0" w:firstLineChars="0"/>
        <w:jc w:val="left"/>
        <w:outlineLvl w:val="1"/>
        <w:rPr>
          <w:rFonts w:ascii="楷体" w:eastAsia="楷体"/>
          <w:b w:val="0"/>
          <w:color w:val="auto"/>
          <w:sz w:val="32"/>
        </w:rPr>
      </w:pPr>
      <w:r>
        <w:rPr>
          <w:rFonts w:ascii="楷体" w:eastAsia="楷体"/>
          <w:b w:val="0"/>
          <w:color w:val="auto"/>
          <w:sz w:val="32"/>
        </w:rPr>
        <w:t>5.1 系统整体架构</w:t>
      </w:r>
    </w:p>
    <w:p w14:paraId="6D4B2E42">
      <w:p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采用前后端分离架构，</w:t>
      </w:r>
      <w:r>
        <w:rPr>
          <w:rFonts w:ascii="仿宋" w:eastAsia="仿宋"/>
          <w:b/>
          <w:bCs/>
          <w:sz w:val="24"/>
        </w:rPr>
        <w:t>必须配套系统工程架构图</w:t>
      </w:r>
      <w:r>
        <w:rPr>
          <w:rFonts w:ascii="仿宋" w:eastAsia="仿宋"/>
          <w:sz w:val="24"/>
        </w:rPr>
        <w:t>，明确：</w:t>
      </w:r>
    </w:p>
    <w:p w14:paraId="4D3D954E">
      <w:pPr>
        <w:snapToGrid/>
        <w:spacing w:beforeAutospacing="0" w:afterAutospacing="0" w:line="560" w:lineRule="exact"/>
        <w:ind w:left="0" w:leftChars="0" w:right="0" w:rightChars="0" w:firstLine="482" w:firstLineChars="0"/>
        <w:jc w:val="left"/>
        <w:rPr>
          <w:rFonts w:ascii="仿宋" w:eastAsia="仿宋"/>
          <w:sz w:val="24"/>
        </w:rPr>
      </w:pPr>
    </w:p>
    <w:p w14:paraId="659FA616">
      <w:pPr>
        <w:pStyle w:val="14"/>
        <w:numPr>
          <w:ilvl w:val="0"/>
          <w:numId w:val="1"/>
        </w:num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前端技术栈：Vue3+Element Plus+ECharts（可视化）</w:t>
      </w:r>
    </w:p>
    <w:p w14:paraId="3E5F5027">
      <w:pPr>
        <w:pStyle w:val="14"/>
        <w:numPr>
          <w:ilvl w:val="0"/>
          <w:numId w:val="1"/>
        </w:num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后端技术栈：FastAPI/Django（接口服务）、MySQL（结构化数据）、MinIO（影像存储）、Redis（缓存）</w:t>
      </w:r>
    </w:p>
    <w:p w14:paraId="0665CEC0">
      <w:pPr>
        <w:pStyle w:val="14"/>
        <w:numPr>
          <w:ilvl w:val="0"/>
          <w:numId w:val="1"/>
        </w:num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模型部署：ONNX Runtime（模型轻量化推理）、Docker+K3s（3节点轻量级容器化集群部署）</w:t>
      </w:r>
    </w:p>
    <w:p w14:paraId="0C2DADBB">
      <w:pPr>
        <w:snapToGrid/>
        <w:spacing w:beforeAutospacing="0" w:afterAutospacing="0" w:line="560" w:lineRule="exact"/>
        <w:ind w:left="0" w:leftChars="0" w:right="0" w:rightChars="0" w:firstLine="482" w:firstLineChars="0"/>
        <w:jc w:val="left"/>
        <w:rPr>
          <w:rFonts w:ascii="仿宋" w:eastAsia="仿宋"/>
          <w:sz w:val="24"/>
        </w:rPr>
      </w:pPr>
    </w:p>
    <w:p w14:paraId="16F6A34F">
      <w:pPr>
        <w:pStyle w:val="3"/>
        <w:snapToGrid/>
        <w:spacing w:before="200" w:beforeAutospacing="0" w:after="100" w:afterAutospacing="0" w:line="240" w:lineRule="auto"/>
        <w:ind w:left="0" w:leftChars="0" w:right="0" w:rightChars="0" w:firstLine="0" w:firstLineChars="0"/>
        <w:jc w:val="left"/>
        <w:outlineLvl w:val="1"/>
        <w:rPr>
          <w:rFonts w:ascii="楷体" w:eastAsia="楷体"/>
          <w:b w:val="0"/>
          <w:color w:val="auto"/>
          <w:sz w:val="32"/>
        </w:rPr>
      </w:pPr>
      <w:r>
        <w:rPr>
          <w:rFonts w:ascii="楷体" w:eastAsia="楷体"/>
          <w:b w:val="0"/>
          <w:color w:val="auto"/>
          <w:sz w:val="32"/>
        </w:rPr>
        <w:t>5.2 核心功能模块实现</w:t>
      </w:r>
    </w:p>
    <w:p w14:paraId="15CFB2EB">
      <w:p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分模块详解每个功能的实现逻辑，</w:t>
      </w:r>
      <w:r>
        <w:rPr>
          <w:rFonts w:ascii="仿宋" w:eastAsia="仿宋"/>
          <w:b/>
          <w:bCs/>
          <w:sz w:val="24"/>
        </w:rPr>
        <w:t>配套对应功能的界面截图（带题注）</w:t>
      </w:r>
      <w:r>
        <w:rPr>
          <w:rFonts w:ascii="仿宋" w:eastAsia="仿宋"/>
          <w:sz w:val="24"/>
        </w:rPr>
        <w:t>：</w:t>
      </w:r>
    </w:p>
    <w:p w14:paraId="2ADADF9A">
      <w:pPr>
        <w:snapToGrid/>
        <w:spacing w:beforeAutospacing="0" w:afterAutospacing="0" w:line="560" w:lineRule="exact"/>
        <w:ind w:left="0" w:leftChars="0" w:right="0" w:rightChars="0" w:firstLine="482" w:firstLineChars="0"/>
        <w:jc w:val="left"/>
        <w:rPr>
          <w:rFonts w:ascii="仿宋" w:eastAsia="仿宋"/>
          <w:sz w:val="24"/>
        </w:rPr>
      </w:pPr>
    </w:p>
    <w:p w14:paraId="0CE701C6">
      <w:p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1. 用户与权限管理模块：普通用户、医护用户、管理员三级权限，注册登录、信息管理功能实现；</w:t>
      </w:r>
    </w:p>
    <w:p w14:paraId="1617A952">
      <w:p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2. 多模态数据管理模块：手动录入、Excel批量导入、影像上传、数据标准化处理的实现；</w:t>
      </w:r>
    </w:p>
    <w:p w14:paraId="6A0A4433">
      <w:p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3. 风险预测模块：6个模型的API封装、一键预测、双模态协同决策、风险等级可视化、预测报告自动生成与导出的实现；</w:t>
      </w:r>
    </w:p>
    <w:p w14:paraId="36F043E3">
      <w:p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4. 危险因素可视化模块：SHAP值瀑布图、特征贡献度柱状图、影像病灶热力图、双模态决策逻辑图的实现；</w:t>
      </w:r>
    </w:p>
    <w:p w14:paraId="6DBD1BF9">
      <w:p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5. 个性化健康管理模块：科普文章推荐、医疗机构推荐、豆包大模型干预方案生成的功能实现；</w:t>
      </w:r>
    </w:p>
    <w:p w14:paraId="72ACF135">
      <w:p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6. 健康随访模块：随访提醒、随访记录录入、风险动态监测、历史数据对比的实现。</w:t>
      </w:r>
    </w:p>
    <w:p w14:paraId="3983942E">
      <w:pPr>
        <w:snapToGrid/>
        <w:spacing w:beforeAutospacing="0" w:afterAutospacing="0" w:line="560" w:lineRule="exact"/>
        <w:ind w:left="0" w:leftChars="0" w:right="0" w:rightChars="0" w:firstLine="482" w:firstLineChars="0"/>
        <w:jc w:val="left"/>
        <w:rPr>
          <w:rFonts w:ascii="仿宋" w:eastAsia="仿宋"/>
          <w:sz w:val="24"/>
        </w:rPr>
      </w:pPr>
    </w:p>
    <w:p w14:paraId="09F59811">
      <w:pPr>
        <w:pStyle w:val="3"/>
        <w:snapToGrid/>
        <w:spacing w:before="200" w:beforeAutospacing="0" w:after="100" w:afterAutospacing="0" w:line="240" w:lineRule="auto"/>
        <w:ind w:left="0" w:leftChars="0" w:right="0" w:rightChars="0" w:firstLine="0" w:firstLineChars="0"/>
        <w:jc w:val="left"/>
        <w:outlineLvl w:val="1"/>
        <w:rPr>
          <w:rFonts w:ascii="楷体" w:eastAsia="楷体"/>
          <w:b w:val="0"/>
          <w:color w:val="auto"/>
          <w:sz w:val="32"/>
        </w:rPr>
      </w:pPr>
      <w:r>
        <w:rPr>
          <w:rFonts w:ascii="楷体" w:eastAsia="楷体"/>
          <w:b w:val="0"/>
          <w:color w:val="auto"/>
          <w:sz w:val="32"/>
        </w:rPr>
        <w:t>5.3 模型工程化封装</w:t>
      </w:r>
    </w:p>
    <w:p w14:paraId="0B778BF1">
      <w:p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本作品所有6个模型均在本地完成训练与验证，工程化环节重点实现：</w:t>
      </w:r>
    </w:p>
    <w:p w14:paraId="4394E9AA">
      <w:pPr>
        <w:snapToGrid/>
        <w:spacing w:beforeAutospacing="0" w:afterAutospacing="0" w:line="560" w:lineRule="exact"/>
        <w:ind w:left="0" w:leftChars="0" w:right="0" w:rightChars="0" w:firstLine="482" w:firstLineChars="0"/>
        <w:jc w:val="left"/>
        <w:rPr>
          <w:rFonts w:ascii="仿宋" w:eastAsia="仿宋"/>
          <w:sz w:val="24"/>
        </w:rPr>
      </w:pPr>
    </w:p>
    <w:p w14:paraId="484B8C7B">
      <w:pPr>
        <w:pStyle w:val="14"/>
        <w:numPr>
          <w:ilvl w:val="0"/>
          <w:numId w:val="1"/>
        </w:num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模型轻量化与格式标准化：本地训练完成的模型统一转换为ONNX通用格式，完成轻量化处理，保障推理效率，适配3节点集群的硬件资源；</w:t>
      </w:r>
    </w:p>
    <w:p w14:paraId="61643A22">
      <w:pPr>
        <w:pStyle w:val="14"/>
        <w:numPr>
          <w:ilvl w:val="0"/>
          <w:numId w:val="1"/>
        </w:num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环境一致性锁定：通过Dockerfile锁定模型推理的Python版本、依赖库版本，与本地训练环境完全一致；</w:t>
      </w:r>
    </w:p>
    <w:p w14:paraId="4B54A178">
      <w:pPr>
        <w:pStyle w:val="14"/>
        <w:numPr>
          <w:ilvl w:val="0"/>
          <w:numId w:val="1"/>
        </w:num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推理API封装：每个模型封装为独立的RESTful API接口，实现输入标准化、推理计算、结果输出的全流程自动化，支持批量推理。</w:t>
      </w:r>
    </w:p>
    <w:p w14:paraId="67A24B90">
      <w:pPr>
        <w:snapToGrid/>
        <w:spacing w:beforeAutospacing="0" w:afterAutospacing="0" w:line="560" w:lineRule="exact"/>
        <w:ind w:left="0" w:leftChars="0" w:right="0" w:rightChars="0" w:firstLine="482" w:firstLineChars="0"/>
        <w:jc w:val="left"/>
        <w:rPr>
          <w:rFonts w:ascii="仿宋" w:eastAsia="仿宋"/>
          <w:sz w:val="24"/>
        </w:rPr>
      </w:pPr>
    </w:p>
    <w:p w14:paraId="07428A71">
      <w:pPr>
        <w:pStyle w:val="3"/>
        <w:snapToGrid/>
        <w:spacing w:before="200" w:beforeAutospacing="0" w:after="100" w:afterAutospacing="0" w:line="240" w:lineRule="auto"/>
        <w:ind w:left="0" w:leftChars="0" w:right="0" w:rightChars="0" w:firstLine="0" w:firstLineChars="0"/>
        <w:jc w:val="left"/>
        <w:outlineLvl w:val="1"/>
        <w:rPr>
          <w:rFonts w:ascii="楷体" w:eastAsia="楷体"/>
          <w:b w:val="0"/>
          <w:color w:val="auto"/>
          <w:sz w:val="32"/>
        </w:rPr>
      </w:pPr>
      <w:r>
        <w:rPr>
          <w:rFonts w:ascii="楷体" w:eastAsia="楷体"/>
          <w:b w:val="0"/>
          <w:color w:val="auto"/>
          <w:sz w:val="32"/>
        </w:rPr>
        <w:t>5.4 平台3节点集群化部署方案（核心适配3台电脑场景，必填）</w:t>
      </w:r>
    </w:p>
    <w:p w14:paraId="1E3ED7EF">
      <w:pPr>
        <w:pStyle w:val="4"/>
        <w:snapToGrid/>
        <w:spacing w:before="200" w:beforeAutospacing="0" w:after="100" w:afterAutospacing="0" w:line="240" w:lineRule="auto"/>
        <w:ind w:left="0" w:leftChars="0" w:right="0" w:rightChars="0" w:firstLine="0" w:firstLineChars="0"/>
        <w:jc w:val="left"/>
        <w:outlineLvl w:val="2"/>
        <w:rPr>
          <w:rFonts w:ascii="仿宋" w:eastAsia="仿宋"/>
          <w:b w:val="0"/>
          <w:color w:val="auto"/>
          <w:sz w:val="28"/>
        </w:rPr>
      </w:pPr>
      <w:r>
        <w:rPr>
          <w:rFonts w:ascii="仿宋" w:eastAsia="仿宋"/>
          <w:b w:val="0"/>
          <w:color w:val="auto"/>
          <w:sz w:val="28"/>
        </w:rPr>
        <w:t>5.4.1 部署设计目标与边界重申</w:t>
      </w:r>
    </w:p>
    <w:p w14:paraId="3C20B085">
      <w:p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本作品所有模型的训练、优化、离线验证全流程均在本地工作站完成，</w:t>
      </w:r>
      <w:r>
        <w:rPr>
          <w:rFonts w:ascii="仿宋" w:eastAsia="仿宋"/>
          <w:b/>
          <w:bCs/>
          <w:sz w:val="24"/>
        </w:rPr>
        <w:t>集群由3台物理电脑组成</w:t>
      </w:r>
      <w:r>
        <w:rPr>
          <w:rFonts w:ascii="仿宋" w:eastAsia="仿宋"/>
          <w:sz w:val="24"/>
        </w:rPr>
        <w:t>，仅用于平台线上服务与模型推理服务的生产级部署，核心设计目标为：</w:t>
      </w:r>
    </w:p>
    <w:p w14:paraId="340C919B">
      <w:pPr>
        <w:snapToGrid/>
        <w:spacing w:beforeAutospacing="0" w:afterAutospacing="0" w:line="560" w:lineRule="exact"/>
        <w:ind w:left="0" w:leftChars="0" w:right="0" w:rightChars="0" w:firstLine="482" w:firstLineChars="0"/>
        <w:jc w:val="left"/>
        <w:rPr>
          <w:rFonts w:ascii="仿宋" w:eastAsia="仿宋"/>
          <w:sz w:val="24"/>
        </w:rPr>
      </w:pPr>
    </w:p>
    <w:p w14:paraId="674084BA">
      <w:pPr>
        <w:pStyle w:val="14"/>
        <w:numPr>
          <w:ilvl w:val="0"/>
          <w:numId w:val="1"/>
        </w:num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实现6个模型推理服务的独立调度与资源隔离，避免单服务故障影响平台整体运行；</w:t>
      </w:r>
    </w:p>
    <w:p w14:paraId="30A2B832">
      <w:pPr>
        <w:pStyle w:val="14"/>
        <w:numPr>
          <w:ilvl w:val="0"/>
          <w:numId w:val="1"/>
        </w:num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适配多用户并发访问需求，解决单机部署并发上限低、故障容错能力弱的问题；</w:t>
      </w:r>
    </w:p>
    <w:p w14:paraId="0425B34E">
      <w:pPr>
        <w:pStyle w:val="14"/>
        <w:numPr>
          <w:ilvl w:val="0"/>
          <w:numId w:val="1"/>
        </w:num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实现服务故障自愈与数据备份，保障平台服务可用性；</w:t>
      </w:r>
    </w:p>
    <w:p w14:paraId="66E16514">
      <w:pPr>
        <w:pStyle w:val="14"/>
        <w:numPr>
          <w:ilvl w:val="0"/>
          <w:numId w:val="1"/>
        </w:num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实现低成本、可复刻的本地化部署，适配基层医疗机构无云服务器的落地场景。</w:t>
      </w:r>
    </w:p>
    <w:p w14:paraId="55A9333E">
      <w:pPr>
        <w:snapToGrid/>
        <w:spacing w:beforeAutospacing="0" w:afterAutospacing="0" w:line="560" w:lineRule="exact"/>
        <w:ind w:left="0" w:leftChars="0" w:right="0" w:rightChars="0" w:firstLine="482" w:firstLineChars="0"/>
        <w:jc w:val="left"/>
        <w:rPr>
          <w:rFonts w:ascii="仿宋" w:eastAsia="仿宋"/>
          <w:sz w:val="24"/>
        </w:rPr>
      </w:pPr>
    </w:p>
    <w:p w14:paraId="1C819A28">
      <w:pPr>
        <w:pStyle w:val="4"/>
        <w:snapToGrid/>
        <w:spacing w:before="200" w:beforeAutospacing="0" w:after="100" w:afterAutospacing="0" w:line="240" w:lineRule="auto"/>
        <w:ind w:left="0" w:leftChars="0" w:right="0" w:rightChars="0" w:firstLine="0" w:firstLineChars="0"/>
        <w:jc w:val="left"/>
        <w:outlineLvl w:val="2"/>
        <w:rPr>
          <w:rFonts w:ascii="仿宋" w:eastAsia="仿宋"/>
          <w:b w:val="0"/>
          <w:color w:val="auto"/>
          <w:sz w:val="28"/>
        </w:rPr>
      </w:pPr>
      <w:r>
        <w:rPr>
          <w:rFonts w:ascii="仿宋" w:eastAsia="仿宋"/>
          <w:b w:val="0"/>
          <w:color w:val="auto"/>
          <w:sz w:val="28"/>
        </w:rPr>
        <w:t>5.4.2 3节点集群整体架构</w:t>
      </w:r>
    </w:p>
    <w:p w14:paraId="60D2A827">
      <w:p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b/>
          <w:bCs/>
          <w:sz w:val="24"/>
        </w:rPr>
        <w:t>必须配套3节点集群部署拓扑图</w:t>
      </w:r>
      <w:r>
        <w:rPr>
          <w:rFonts w:ascii="仿宋" w:eastAsia="仿宋"/>
          <w:sz w:val="24"/>
        </w:rPr>
        <w:t>，采用「1主2从」轻量级架构，基于Docker+K3s构建集群（K3s为轻量级Kubernetes发行版，适配普通电脑硬件资源，完全符合3台电脑的部署场景），通过内网隔离实现数据安全，核心节点配置与角色如下：</w:t>
      </w:r>
    </w:p>
    <w:p w14:paraId="2E34595D">
      <w:pPr>
        <w:snapToGrid/>
        <w:spacing w:beforeAutospacing="0" w:afterAutospacing="0" w:line="560" w:lineRule="exact"/>
        <w:ind w:left="0" w:leftChars="0" w:right="0" w:rightChars="0" w:firstLine="482" w:firstLineChars="0"/>
        <w:jc w:val="left"/>
        <w:rPr>
          <w:rFonts w:ascii="仿宋" w:eastAsia="仿宋"/>
          <w:sz w:val="24"/>
        </w:rPr>
      </w:pPr>
    </w:p>
    <w:tbl>
      <w:tblPr>
        <w:tblStyle w:val="1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2831"/>
        <w:gridCol w:w="1373"/>
        <w:gridCol w:w="2145"/>
        <w:gridCol w:w="1716"/>
        <w:gridCol w:w="1201"/>
      </w:tblGrid>
      <w:tr w14:paraId="1EF612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tblHeader/>
        </w:trPr>
        <w:tc>
          <w:p w14:paraId="0B4B28C3">
            <w:pPr>
              <w:jc w:val="left"/>
            </w:pPr>
            <w:r>
              <w:rPr>
                <w:b/>
                <w:bCs/>
              </w:rPr>
              <w:t>节点序号</w:t>
            </w:r>
          </w:p>
        </w:tc>
        <w:tc>
          <w:p w14:paraId="7B47B796">
            <w:pPr>
              <w:jc w:val="left"/>
            </w:pPr>
            <w:r>
              <w:rPr>
                <w:b/>
                <w:bCs/>
              </w:rPr>
              <w:t>节点角色</w:t>
            </w:r>
          </w:p>
        </w:tc>
        <w:tc>
          <w:p w14:paraId="1ECC78C4">
            <w:pPr>
              <w:jc w:val="left"/>
            </w:pPr>
            <w:r>
              <w:rPr>
                <w:b/>
                <w:bCs/>
              </w:rPr>
              <w:t>核心职责</w:t>
            </w:r>
          </w:p>
        </w:tc>
        <w:tc>
          <w:p w14:paraId="7F7D3DC1">
            <w:pPr>
              <w:jc w:val="left"/>
            </w:pPr>
            <w:r>
              <w:rPr>
                <w:b/>
                <w:bCs/>
              </w:rPr>
              <w:t>硬件配置预留填写位</w:t>
            </w:r>
          </w:p>
        </w:tc>
        <w:tc>
          <w:p w14:paraId="699ACACD">
            <w:pPr>
              <w:jc w:val="left"/>
            </w:pPr>
            <w:r>
              <w:rPr>
                <w:b/>
                <w:bCs/>
              </w:rPr>
              <w:t>操作系统</w:t>
            </w:r>
          </w:p>
        </w:tc>
      </w:tr>
      <w:tr w14:paraId="583140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7080D1CE">
            <w:pPr>
              <w:jc w:val="left"/>
            </w:pPr>
            <w:r>
              <w:t>节点1</w:t>
            </w:r>
          </w:p>
        </w:tc>
        <w:tc>
          <w:p w14:paraId="34F00C81">
            <w:pPr>
              <w:jc w:val="left"/>
            </w:pPr>
            <w:r>
              <w:t>Master控制节点</w:t>
            </w:r>
          </w:p>
        </w:tc>
        <w:tc>
          <w:p w14:paraId="7D2B6D3B">
            <w:pPr>
              <w:jc w:val="left"/>
            </w:pPr>
            <w:r>
              <w:t>集群管理、API网关、调度编排、监控运维</w:t>
            </w:r>
          </w:p>
        </w:tc>
        <w:tc>
          <w:p w14:paraId="3A71EE75">
            <w:pPr>
              <w:jc w:val="left"/>
            </w:pPr>
            <w:r>
              <w:t>CPU：XX 内存：XX 硬盘：XX</w:t>
            </w:r>
          </w:p>
        </w:tc>
        <w:tc>
          <w:p w14:paraId="1809DB7D">
            <w:pPr>
              <w:jc w:val="left"/>
            </w:pPr>
            <w:r>
              <w:t>Ubuntu 22.04</w:t>
            </w:r>
          </w:p>
        </w:tc>
      </w:tr>
      <w:tr w14:paraId="53DB94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2E58F578">
            <w:pPr>
              <w:jc w:val="left"/>
            </w:pPr>
            <w:r>
              <w:t>节点2</w:t>
            </w:r>
          </w:p>
        </w:tc>
        <w:tc>
          <w:p w14:paraId="78C01724">
            <w:pPr>
              <w:jc w:val="left"/>
            </w:pPr>
            <w:r>
              <w:t>Worker工作节点1</w:t>
            </w:r>
          </w:p>
        </w:tc>
        <w:tc>
          <w:p w14:paraId="3963352A">
            <w:pPr>
              <w:jc w:val="left"/>
            </w:pPr>
            <w:r>
              <w:t>6个模型推理服务容器、核心业务服务容器</w:t>
            </w:r>
          </w:p>
        </w:tc>
        <w:tc>
          <w:p w14:paraId="59C42492">
            <w:pPr>
              <w:jc w:val="left"/>
            </w:pPr>
            <w:r>
              <w:t>CPU：XX 内存：XX 硬盘：XX</w:t>
            </w:r>
          </w:p>
        </w:tc>
        <w:tc>
          <w:p w14:paraId="45F57E68">
            <w:pPr>
              <w:jc w:val="left"/>
            </w:pPr>
            <w:r>
              <w:t>Ubuntu 22.04</w:t>
            </w:r>
          </w:p>
        </w:tc>
      </w:tr>
      <w:tr w14:paraId="14BD1A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51C02C78">
            <w:pPr>
              <w:jc w:val="left"/>
            </w:pPr>
            <w:r>
              <w:t>节点3</w:t>
            </w:r>
          </w:p>
        </w:tc>
        <w:tc>
          <w:p w14:paraId="29889440">
            <w:pPr>
              <w:jc w:val="left"/>
            </w:pPr>
            <w:r>
              <w:t>Worker工作节点2</w:t>
            </w:r>
          </w:p>
        </w:tc>
        <w:tc>
          <w:p w14:paraId="742762DC">
            <w:pPr>
              <w:jc w:val="left"/>
            </w:pPr>
            <w:r>
              <w:t>数据存储服务、前端静态服务、缓存服务</w:t>
            </w:r>
          </w:p>
        </w:tc>
        <w:tc>
          <w:p w14:paraId="2C3D9530">
            <w:pPr>
              <w:jc w:val="left"/>
            </w:pPr>
            <w:r>
              <w:t>CPU：XX 内存：XX 硬盘：XX</w:t>
            </w:r>
          </w:p>
        </w:tc>
        <w:tc>
          <w:p w14:paraId="6AFE7DE6">
            <w:pPr>
              <w:jc w:val="left"/>
            </w:pPr>
            <w:r>
              <w:t>Ubuntu 22.04</w:t>
            </w:r>
          </w:p>
        </w:tc>
      </w:tr>
      <w:tr w14:paraId="6032D5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4C65032D">
            <w:pPr>
              <w:jc w:val="left"/>
            </w:pPr>
            <w:r>
              <w:t>集群核心服务模块拆分如下，所有模块均实现容器化独立部署与统一编排：</w:t>
            </w:r>
          </w:p>
        </w:tc>
        <w:tc>
          <w:p w14:paraId="1B723D00">
            <w:pPr>
              <w:jc w:val="left"/>
            </w:pPr>
          </w:p>
        </w:tc>
        <w:tc>
          <w:p w14:paraId="7DAEEA74">
            <w:pPr>
              <w:jc w:val="left"/>
            </w:pPr>
          </w:p>
        </w:tc>
        <w:tc>
          <w:p w14:paraId="3A91AD00">
            <w:pPr>
              <w:jc w:val="left"/>
            </w:pPr>
          </w:p>
        </w:tc>
        <w:tc>
          <w:p w14:paraId="7D7DCC45">
            <w:pPr>
              <w:jc w:val="left"/>
            </w:pPr>
          </w:p>
        </w:tc>
      </w:tr>
    </w:tbl>
    <w:p w14:paraId="7072DB5A">
      <w:pPr>
        <w:snapToGrid/>
        <w:spacing w:beforeAutospacing="0" w:afterAutospacing="0" w:line="560" w:lineRule="exact"/>
        <w:ind w:left="0" w:leftChars="0" w:right="0" w:rightChars="0" w:firstLine="482" w:firstLineChars="0"/>
        <w:jc w:val="left"/>
        <w:rPr>
          <w:rFonts w:ascii="仿宋" w:eastAsia="仿宋"/>
          <w:sz w:val="24"/>
        </w:rPr>
      </w:pPr>
    </w:p>
    <w:p w14:paraId="3FB88667">
      <w:p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1. 前端静态服务：部署于Worker节点3，基于Nginx实现反向代理、静态资源加速；</w:t>
      </w:r>
    </w:p>
    <w:p w14:paraId="75ED97A5">
      <w:p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2. 后端API网关服务：部署于Master节点，实现统一接口调度、用户权限校验、流量控制；</w:t>
      </w:r>
    </w:p>
    <w:p w14:paraId="60B3795B">
      <w:p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 xml:space="preserve">3. </w:t>
      </w:r>
      <w:r>
        <w:rPr>
          <w:rFonts w:ascii="仿宋" w:eastAsia="仿宋"/>
          <w:b/>
          <w:bCs/>
          <w:sz w:val="24"/>
        </w:rPr>
        <w:t>模型推理服务集群（核心适配6模型）</w:t>
      </w:r>
      <w:r>
        <w:rPr>
          <w:rFonts w:ascii="仿宋" w:eastAsia="仿宋"/>
          <w:sz w:val="24"/>
        </w:rPr>
        <w:t>：部署于Worker节点1，对应6个预测模型，</w:t>
      </w:r>
      <w:r>
        <w:rPr>
          <w:rFonts w:ascii="仿宋" w:eastAsia="仿宋"/>
          <w:b/>
          <w:bCs/>
          <w:sz w:val="24"/>
        </w:rPr>
        <w:t>每个模型封装为独立的推理服务容器</w:t>
      </w:r>
      <w:r>
        <w:rPr>
          <w:rFonts w:ascii="仿宋" w:eastAsia="仿宋"/>
          <w:sz w:val="24"/>
        </w:rPr>
        <w:t>，实现资源隔离、独立调度，避免服务间干扰；</w:t>
      </w:r>
    </w:p>
    <w:p w14:paraId="4D939DFA">
      <w:p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4. 核心业务服务：部署于Worker节点1，封装双模态协同决策、可解释性分析、个性化健康管理等核心业务逻辑；</w:t>
      </w:r>
    </w:p>
    <w:p w14:paraId="2AA2BF86">
      <w:p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5. 数据存储服务：部署于Worker节点3，包含MySQL结构化数据主从备份、MinIO影像对象存储、Redis缓存，实现数据高可用存储；</w:t>
      </w:r>
    </w:p>
    <w:p w14:paraId="3CE49FD7">
      <w:p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6. 监控运维服务：部署于Master节点，实现服务健康检查、故障告警、日志收集，实时监控集群运行状态。</w:t>
      </w:r>
    </w:p>
    <w:p w14:paraId="2619ECE8">
      <w:pPr>
        <w:snapToGrid/>
        <w:spacing w:beforeAutospacing="0" w:afterAutospacing="0" w:line="560" w:lineRule="exact"/>
        <w:ind w:left="0" w:leftChars="0" w:right="0" w:rightChars="0" w:firstLine="482" w:firstLineChars="0"/>
        <w:jc w:val="left"/>
        <w:rPr>
          <w:rFonts w:ascii="仿宋" w:eastAsia="仿宋"/>
          <w:sz w:val="24"/>
        </w:rPr>
      </w:pPr>
    </w:p>
    <w:p w14:paraId="2470C2DF">
      <w:pPr>
        <w:pStyle w:val="4"/>
        <w:snapToGrid/>
        <w:spacing w:before="200" w:beforeAutospacing="0" w:after="100" w:afterAutospacing="0" w:line="240" w:lineRule="auto"/>
        <w:ind w:left="0" w:leftChars="0" w:right="0" w:rightChars="0" w:firstLine="0" w:firstLineChars="0"/>
        <w:jc w:val="left"/>
        <w:outlineLvl w:val="2"/>
        <w:rPr>
          <w:rFonts w:ascii="仿宋" w:eastAsia="仿宋"/>
          <w:b w:val="0"/>
          <w:color w:val="auto"/>
          <w:sz w:val="28"/>
        </w:rPr>
      </w:pPr>
      <w:r>
        <w:rPr>
          <w:rFonts w:ascii="仿宋" w:eastAsia="仿宋"/>
          <w:b w:val="0"/>
          <w:color w:val="auto"/>
          <w:sz w:val="28"/>
        </w:rPr>
        <w:t>5.4.3 核心部署策略与关键实现</w:t>
      </w:r>
    </w:p>
    <w:p w14:paraId="17AD1E9B">
      <w:p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 xml:space="preserve">1. </w:t>
      </w:r>
      <w:r>
        <w:rPr>
          <w:rFonts w:ascii="仿宋" w:eastAsia="仿宋"/>
          <w:b/>
          <w:bCs/>
          <w:sz w:val="24"/>
        </w:rPr>
        <w:t>模型一致性保障</w:t>
      </w:r>
      <w:r>
        <w:rPr>
          <w:rFonts w:ascii="仿宋" w:eastAsia="仿宋"/>
          <w:sz w:val="24"/>
        </w:rPr>
        <w:t>：通过Dockerfile锁定运行环境，保障集群推理环境与本地训练环境的模型输出结果完全一致，无精度损失；</w:t>
      </w:r>
    </w:p>
    <w:p w14:paraId="157090B0">
      <w:p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 xml:space="preserve">2. </w:t>
      </w:r>
      <w:r>
        <w:rPr>
          <w:rFonts w:ascii="仿宋" w:eastAsia="仿宋"/>
          <w:b/>
          <w:bCs/>
          <w:sz w:val="24"/>
        </w:rPr>
        <w:t>资源隔离与调度</w:t>
      </w:r>
      <w:r>
        <w:rPr>
          <w:rFonts w:ascii="仿宋" w:eastAsia="仿宋"/>
          <w:sz w:val="24"/>
        </w:rPr>
        <w:t>：基于K3s实现Pod资源配额管理，为6个模型推理服务分配独立的CPU、内存资源，避免服务间资源抢占；</w:t>
      </w:r>
    </w:p>
    <w:p w14:paraId="3DF9C792">
      <w:p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 xml:space="preserve">3. </w:t>
      </w:r>
      <w:r>
        <w:rPr>
          <w:rFonts w:ascii="仿宋" w:eastAsia="仿宋"/>
          <w:b/>
          <w:bCs/>
          <w:sz w:val="24"/>
        </w:rPr>
        <w:t>负载均衡与故障容错</w:t>
      </w:r>
      <w:r>
        <w:rPr>
          <w:rFonts w:ascii="仿宋" w:eastAsia="仿宋"/>
          <w:sz w:val="24"/>
        </w:rPr>
        <w:t>：通过Service负载均衡将请求均匀分发至健康的服务实例；配置服务存活探针、就绪探针，单Pod/单节点故障时，自动触发Pod自愈与流量切换，实现秒级故障恢复；</w:t>
      </w:r>
    </w:p>
    <w:p w14:paraId="7466B762">
      <w:p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 xml:space="preserve">4. </w:t>
      </w:r>
      <w:r>
        <w:rPr>
          <w:rFonts w:ascii="仿宋" w:eastAsia="仿宋"/>
          <w:b/>
          <w:bCs/>
          <w:sz w:val="24"/>
        </w:rPr>
        <w:t>数据备份与安全</w:t>
      </w:r>
      <w:r>
        <w:rPr>
          <w:rFonts w:ascii="仿宋" w:eastAsia="仿宋"/>
          <w:sz w:val="24"/>
        </w:rPr>
        <w:t>：针对存储服务配置定期数据备份，主从数据热备，避免用户数据丢失；通过内网防火墙、命名空间权限管控，实现服务与数据的安全隔离。</w:t>
      </w:r>
    </w:p>
    <w:p w14:paraId="5822D5B0">
      <w:pPr>
        <w:snapToGrid/>
        <w:spacing w:beforeAutospacing="0" w:afterAutospacing="0" w:line="560" w:lineRule="exact"/>
        <w:ind w:left="0" w:leftChars="0" w:right="0" w:rightChars="0" w:firstLine="482" w:firstLineChars="0"/>
        <w:jc w:val="left"/>
        <w:rPr>
          <w:rFonts w:ascii="仿宋" w:eastAsia="仿宋"/>
          <w:sz w:val="24"/>
        </w:rPr>
      </w:pPr>
    </w:p>
    <w:p w14:paraId="60BC8492">
      <w:pPr>
        <w:pStyle w:val="4"/>
        <w:snapToGrid/>
        <w:spacing w:before="200" w:beforeAutospacing="0" w:after="100" w:afterAutospacing="0" w:line="240" w:lineRule="auto"/>
        <w:ind w:left="0" w:leftChars="0" w:right="0" w:rightChars="0" w:firstLine="0" w:firstLineChars="0"/>
        <w:jc w:val="left"/>
        <w:outlineLvl w:val="2"/>
        <w:rPr>
          <w:rFonts w:ascii="仿宋" w:eastAsia="仿宋"/>
          <w:b w:val="0"/>
          <w:color w:val="auto"/>
          <w:sz w:val="28"/>
        </w:rPr>
      </w:pPr>
      <w:r>
        <w:rPr>
          <w:rFonts w:ascii="仿宋" w:eastAsia="仿宋"/>
          <w:b w:val="0"/>
          <w:color w:val="auto"/>
          <w:sz w:val="28"/>
        </w:rPr>
        <w:t>5.4.4 部署效果一致性验证</w:t>
      </w:r>
    </w:p>
    <w:p w14:paraId="51D7E178">
      <w:p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集群部署完成后，对6个模型分别进行全量离线样本批量推理测试，对比集群环境推理结果与本地离线验证结果的一致性，确保6个模型的预测准确率、AUC值偏差均小于0.1%，完全还原本地模型的预测效果。</w:t>
      </w:r>
    </w:p>
    <w:p w14:paraId="137368CB">
      <w:pPr>
        <w:snapToGrid/>
        <w:spacing w:beforeAutospacing="0" w:afterAutospacing="0" w:line="560" w:lineRule="exact"/>
        <w:ind w:left="0" w:leftChars="0" w:right="0" w:rightChars="0" w:firstLine="482" w:firstLineChars="0"/>
        <w:jc w:val="left"/>
        <w:rPr>
          <w:rFonts w:ascii="仿宋" w:eastAsia="仿宋"/>
          <w:sz w:val="24"/>
        </w:rPr>
      </w:pPr>
    </w:p>
    <w:p w14:paraId="4B9FE8B1">
      <w:pPr>
        <w:pStyle w:val="3"/>
        <w:snapToGrid/>
        <w:spacing w:before="200" w:beforeAutospacing="0" w:after="100" w:afterAutospacing="0" w:line="240" w:lineRule="auto"/>
        <w:ind w:left="0" w:leftChars="0" w:right="0" w:rightChars="0" w:firstLine="0" w:firstLineChars="0"/>
        <w:jc w:val="left"/>
        <w:outlineLvl w:val="1"/>
        <w:rPr>
          <w:rFonts w:ascii="楷体" w:eastAsia="楷体"/>
          <w:b w:val="0"/>
          <w:color w:val="auto"/>
          <w:sz w:val="32"/>
        </w:rPr>
      </w:pPr>
      <w:r>
        <w:rPr>
          <w:rFonts w:ascii="楷体" w:eastAsia="楷体"/>
          <w:b w:val="0"/>
          <w:color w:val="auto"/>
          <w:sz w:val="32"/>
        </w:rPr>
        <w:t>5.5 开发与运行环境</w:t>
      </w:r>
    </w:p>
    <w:p w14:paraId="42043C7B">
      <w:p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明确开发环境（前端、后端、模型训练的软硬件环境、版本号）、3节点集群部署运行环境（每台节点的硬件配置、操作系统、依赖环境版本号）。</w:t>
      </w:r>
    </w:p>
    <w:p w14:paraId="3BC05A4F">
      <w:pPr>
        <w:snapToGrid/>
        <w:spacing w:beforeAutospacing="0" w:afterAutospacing="0" w:line="560" w:lineRule="exact"/>
        <w:ind w:left="0" w:leftChars="0" w:right="0" w:rightChars="0" w:firstLine="482" w:firstLineChars="0"/>
        <w:jc w:val="left"/>
        <w:rPr>
          <w:rFonts w:ascii="仿宋" w:eastAsia="仿宋"/>
          <w:sz w:val="24"/>
        </w:rPr>
      </w:pPr>
    </w:p>
    <w:p w14:paraId="1FD85B26">
      <w:pPr>
        <w:rPr>
          <w:rFonts w:ascii="黑体" w:eastAsia="黑体"/>
          <w:b w:val="0"/>
          <w:color w:val="auto"/>
          <w:sz w:val="32"/>
        </w:rPr>
      </w:pPr>
      <w:r>
        <w:rPr>
          <w:rFonts w:ascii="黑体" w:eastAsia="黑体"/>
          <w:b w:val="0"/>
          <w:color w:val="auto"/>
          <w:sz w:val="32"/>
        </w:rPr>
        <w:br w:type="page"/>
      </w:r>
    </w:p>
    <w:p w14:paraId="54FE3F7D">
      <w:pPr>
        <w:pStyle w:val="2"/>
        <w:snapToGrid/>
        <w:spacing w:before="200" w:beforeAutospacing="0" w:after="100" w:afterAutospacing="0" w:line="240" w:lineRule="auto"/>
        <w:ind w:left="0" w:leftChars="0" w:right="0" w:rightChars="0" w:firstLine="0" w:firstLineChars="0"/>
        <w:jc w:val="left"/>
        <w:outlineLvl w:val="0"/>
        <w:rPr>
          <w:rFonts w:ascii="黑体" w:eastAsia="黑体"/>
          <w:b w:val="0"/>
          <w:color w:val="auto"/>
          <w:sz w:val="32"/>
        </w:rPr>
      </w:pPr>
      <w:r>
        <w:rPr>
          <w:rFonts w:ascii="黑体" w:eastAsia="黑体"/>
          <w:b w:val="0"/>
          <w:color w:val="auto"/>
          <w:sz w:val="32"/>
        </w:rPr>
        <w:t>第6章 测试与效果验证（必填，大赛评审核心，所有宣称必须有数据支撑）</w:t>
      </w:r>
    </w:p>
    <w:p w14:paraId="131FA7BA">
      <w:p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【填写规范】所有测试必须基于独立的开源域外测试集，严禁用训练集做测试；所有结论必须有量化数据支撑，杜绝空泛描述，完全适配3节点集群的测试场景。</w:t>
      </w:r>
    </w:p>
    <w:p w14:paraId="7D516798">
      <w:pPr>
        <w:snapToGrid/>
        <w:spacing w:beforeAutospacing="0" w:afterAutospacing="0" w:line="560" w:lineRule="exact"/>
        <w:ind w:left="0" w:leftChars="0" w:right="0" w:rightChars="0" w:firstLine="482" w:firstLineChars="0"/>
        <w:jc w:val="left"/>
        <w:rPr>
          <w:rFonts w:ascii="仿宋" w:eastAsia="仿宋"/>
          <w:sz w:val="24"/>
        </w:rPr>
      </w:pPr>
    </w:p>
    <w:p w14:paraId="086A3197">
      <w:pPr>
        <w:pStyle w:val="3"/>
        <w:snapToGrid/>
        <w:spacing w:before="200" w:beforeAutospacing="0" w:after="100" w:afterAutospacing="0" w:line="240" w:lineRule="auto"/>
        <w:ind w:left="0" w:leftChars="0" w:right="0" w:rightChars="0" w:firstLine="0" w:firstLineChars="0"/>
        <w:jc w:val="left"/>
        <w:outlineLvl w:val="1"/>
        <w:rPr>
          <w:rFonts w:ascii="楷体" w:eastAsia="楷体"/>
          <w:b w:val="0"/>
          <w:color w:val="auto"/>
          <w:sz w:val="32"/>
        </w:rPr>
      </w:pPr>
      <w:r>
        <w:rPr>
          <w:rFonts w:ascii="楷体" w:eastAsia="楷体"/>
          <w:b w:val="0"/>
          <w:color w:val="auto"/>
          <w:sz w:val="32"/>
        </w:rPr>
        <w:t>6.1 测试环境与测试数据说明</w:t>
      </w:r>
    </w:p>
    <w:p w14:paraId="6DEBB1CD">
      <w:p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明确测试数据为与训练集完全独立的开源域外测试集，说明测试集的来源、样本量、阳性样本占比，保证测试的客观性；明确模型测试的本地环境、集群服务测试的3节点集群环境。</w:t>
      </w:r>
    </w:p>
    <w:p w14:paraId="6BE9309D">
      <w:pPr>
        <w:snapToGrid/>
        <w:spacing w:beforeAutospacing="0" w:afterAutospacing="0" w:line="560" w:lineRule="exact"/>
        <w:ind w:left="0" w:leftChars="0" w:right="0" w:rightChars="0" w:firstLine="482" w:firstLineChars="0"/>
        <w:jc w:val="left"/>
        <w:rPr>
          <w:rFonts w:ascii="仿宋" w:eastAsia="仿宋"/>
          <w:sz w:val="24"/>
        </w:rPr>
      </w:pPr>
    </w:p>
    <w:p w14:paraId="34A4FABD">
      <w:pPr>
        <w:pStyle w:val="3"/>
        <w:snapToGrid/>
        <w:spacing w:before="200" w:beforeAutospacing="0" w:after="100" w:afterAutospacing="0" w:line="240" w:lineRule="auto"/>
        <w:ind w:left="0" w:leftChars="0" w:right="0" w:rightChars="0" w:firstLine="0" w:firstLineChars="0"/>
        <w:jc w:val="left"/>
        <w:outlineLvl w:val="1"/>
        <w:rPr>
          <w:rFonts w:ascii="楷体" w:eastAsia="楷体"/>
          <w:b w:val="0"/>
          <w:color w:val="auto"/>
          <w:sz w:val="32"/>
        </w:rPr>
      </w:pPr>
      <w:r>
        <w:rPr>
          <w:rFonts w:ascii="楷体" w:eastAsia="楷体"/>
          <w:b w:val="0"/>
          <w:color w:val="auto"/>
          <w:sz w:val="32"/>
        </w:rPr>
        <w:t>6.2 模型性能测试</w:t>
      </w:r>
    </w:p>
    <w:p w14:paraId="73574978">
      <w:pPr>
        <w:pStyle w:val="4"/>
        <w:snapToGrid/>
        <w:spacing w:before="200" w:beforeAutospacing="0" w:after="100" w:afterAutospacing="0" w:line="240" w:lineRule="auto"/>
        <w:ind w:left="0" w:leftChars="0" w:right="0" w:rightChars="0" w:firstLine="0" w:firstLineChars="0"/>
        <w:jc w:val="left"/>
        <w:outlineLvl w:val="2"/>
        <w:rPr>
          <w:rFonts w:ascii="仿宋" w:eastAsia="仿宋"/>
          <w:b w:val="0"/>
          <w:color w:val="auto"/>
          <w:sz w:val="28"/>
        </w:rPr>
      </w:pPr>
      <w:r>
        <w:rPr>
          <w:rFonts w:ascii="仿宋" w:eastAsia="仿宋"/>
          <w:b w:val="0"/>
          <w:color w:val="auto"/>
          <w:sz w:val="28"/>
        </w:rPr>
        <w:t>6.2.1 单模型性能测试（6模型逐一验证，必填）</w:t>
      </w:r>
    </w:p>
    <w:p w14:paraId="32BE7C9F">
      <w:p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b/>
          <w:bCs/>
          <w:sz w:val="24"/>
        </w:rPr>
        <w:t>必须配套6个模型性能指标汇总三线表</w:t>
      </w:r>
      <w:r>
        <w:rPr>
          <w:rFonts w:ascii="仿宋" w:eastAsia="仿宋"/>
          <w:sz w:val="24"/>
        </w:rPr>
        <w:t>，示例如下：</w:t>
      </w:r>
    </w:p>
    <w:p w14:paraId="696F4E10">
      <w:pPr>
        <w:snapToGrid/>
        <w:spacing w:beforeAutospacing="0" w:afterAutospacing="0" w:line="560" w:lineRule="exact"/>
        <w:ind w:left="0" w:leftChars="0" w:right="0" w:rightChars="0" w:firstLine="482" w:firstLineChars="0"/>
        <w:jc w:val="left"/>
        <w:rPr>
          <w:rFonts w:ascii="仿宋" w:eastAsia="仿宋"/>
          <w:sz w:val="24"/>
        </w:rPr>
      </w:pPr>
    </w:p>
    <w:p w14:paraId="48A5124E">
      <w:pPr>
        <w:spacing w:after="120"/>
        <w:ind w:left="0" w:leftChars="0" w:right="0" w:rightChars="0" w:firstLine="0" w:firstLineChars="0"/>
        <w:jc w:val="center"/>
        <w:rPr>
          <w:rFonts w:ascii="仿宋" w:eastAsia="仿宋"/>
          <w:b/>
          <w:sz w:val="24"/>
        </w:rPr>
      </w:pPr>
      <w:r>
        <w:rPr>
          <w:rFonts w:ascii="仿宋" w:eastAsia="仿宋"/>
          <w:b/>
          <w:sz w:val="24"/>
        </w:rPr>
        <w:t>表2 6个单模型离线测试性能汇总表</w:t>
      </w:r>
    </w:p>
    <w:p w14:paraId="79472455">
      <w:pPr>
        <w:snapToGrid/>
        <w:spacing w:beforeAutospacing="0" w:afterAutospacing="0" w:line="560" w:lineRule="exact"/>
        <w:ind w:left="0" w:leftChars="0" w:right="0" w:rightChars="0" w:firstLine="482" w:firstLineChars="0"/>
        <w:jc w:val="left"/>
        <w:rPr>
          <w:rFonts w:ascii="仿宋" w:eastAsia="仿宋"/>
          <w:sz w:val="24"/>
        </w:rPr>
      </w:pPr>
    </w:p>
    <w:tbl>
      <w:tblPr>
        <w:tblStyle w:val="1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1911"/>
        <w:gridCol w:w="1146"/>
        <w:gridCol w:w="1337"/>
        <w:gridCol w:w="1050"/>
        <w:gridCol w:w="955"/>
        <w:gridCol w:w="955"/>
        <w:gridCol w:w="955"/>
        <w:gridCol w:w="955"/>
      </w:tblGrid>
      <w:tr w14:paraId="1B6F55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tblHeader/>
        </w:trPr>
        <w:tc>
          <w:p w14:paraId="1FCD239F">
            <w:pPr>
              <w:jc w:val="left"/>
            </w:pPr>
            <w:r>
              <w:rPr>
                <w:b/>
                <w:bCs/>
              </w:rPr>
              <w:t>模型名称</w:t>
            </w:r>
          </w:p>
        </w:tc>
        <w:tc>
          <w:p w14:paraId="0F824149">
            <w:pPr>
              <w:jc w:val="left"/>
            </w:pPr>
            <w:r>
              <w:rPr>
                <w:b/>
                <w:bCs/>
              </w:rPr>
              <w:t>数据模态</w:t>
            </w:r>
          </w:p>
        </w:tc>
        <w:tc>
          <w:p w14:paraId="1DCBB091">
            <w:pPr>
              <w:jc w:val="left"/>
            </w:pPr>
            <w:r>
              <w:rPr>
                <w:b/>
                <w:bCs/>
              </w:rPr>
              <w:t>对应病种</w:t>
            </w:r>
          </w:p>
        </w:tc>
        <w:tc>
          <w:p w14:paraId="208C98BD">
            <w:pPr>
              <w:jc w:val="left"/>
            </w:pPr>
            <w:r>
              <w:rPr>
                <w:b/>
                <w:bCs/>
              </w:rPr>
              <w:t>AUC-ROC</w:t>
            </w:r>
          </w:p>
        </w:tc>
        <w:tc>
          <w:p w14:paraId="3ABB980F">
            <w:pPr>
              <w:jc w:val="left"/>
            </w:pPr>
            <w:r>
              <w:rPr>
                <w:b/>
                <w:bCs/>
              </w:rPr>
              <w:t>AUC-PR</w:t>
            </w:r>
          </w:p>
        </w:tc>
        <w:tc>
          <w:p w14:paraId="780B61B0">
            <w:pPr>
              <w:jc w:val="left"/>
            </w:pPr>
            <w:r>
              <w:rPr>
                <w:b/>
                <w:bCs/>
              </w:rPr>
              <w:t>精准率</w:t>
            </w:r>
          </w:p>
        </w:tc>
        <w:tc>
          <w:p w14:paraId="6B0E30AE">
            <w:pPr>
              <w:jc w:val="left"/>
            </w:pPr>
            <w:r>
              <w:rPr>
                <w:b/>
                <w:bCs/>
              </w:rPr>
              <w:t>召回率</w:t>
            </w:r>
          </w:p>
        </w:tc>
        <w:tc>
          <w:p w14:paraId="56D761B5">
            <w:pPr>
              <w:jc w:val="left"/>
            </w:pPr>
            <w:r>
              <w:rPr>
                <w:b/>
                <w:bCs/>
              </w:rPr>
              <w:t>特异性</w:t>
            </w:r>
          </w:p>
        </w:tc>
      </w:tr>
      <w:tr w14:paraId="5A7351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28B104AB">
            <w:pPr>
              <w:jc w:val="left"/>
            </w:pPr>
            <w:r>
              <w:t>结构化数据肝病预测模型</w:t>
            </w:r>
          </w:p>
        </w:tc>
        <w:tc>
          <w:p w14:paraId="667EF7B5">
            <w:pPr>
              <w:jc w:val="left"/>
            </w:pPr>
            <w:r>
              <w:t>结构化</w:t>
            </w:r>
          </w:p>
        </w:tc>
        <w:tc>
          <w:p w14:paraId="208039E3">
            <w:pPr>
              <w:jc w:val="left"/>
            </w:pPr>
            <w:r>
              <w:t>非酒精性肝病</w:t>
            </w:r>
          </w:p>
        </w:tc>
        <w:tc>
          <w:p w14:paraId="4D8DAC6B">
            <w:pPr>
              <w:jc w:val="left"/>
            </w:pPr>
            <w:r>
              <w:t>XX</w:t>
            </w:r>
          </w:p>
        </w:tc>
        <w:tc>
          <w:p w14:paraId="733C763C">
            <w:pPr>
              <w:jc w:val="left"/>
            </w:pPr>
            <w:r>
              <w:t>XX</w:t>
            </w:r>
          </w:p>
        </w:tc>
        <w:tc>
          <w:p w14:paraId="0AC37539">
            <w:pPr>
              <w:jc w:val="left"/>
            </w:pPr>
            <w:r>
              <w:t>XX</w:t>
            </w:r>
          </w:p>
        </w:tc>
        <w:tc>
          <w:p w14:paraId="18AAED4B">
            <w:pPr>
              <w:jc w:val="left"/>
            </w:pPr>
            <w:r>
              <w:t>XX</w:t>
            </w:r>
          </w:p>
        </w:tc>
        <w:tc>
          <w:p w14:paraId="2E6CDED0">
            <w:pPr>
              <w:jc w:val="left"/>
            </w:pPr>
            <w:r>
              <w:t>XX</w:t>
            </w:r>
          </w:p>
        </w:tc>
      </w:tr>
      <w:tr w14:paraId="3B7B23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43820DB9">
            <w:pPr>
              <w:jc w:val="left"/>
            </w:pPr>
            <w:r>
              <w:t>结构化数据糖尿病预测模型</w:t>
            </w:r>
          </w:p>
        </w:tc>
        <w:tc>
          <w:p w14:paraId="33A2A421">
            <w:pPr>
              <w:jc w:val="left"/>
            </w:pPr>
            <w:r>
              <w:t>结构化</w:t>
            </w:r>
          </w:p>
        </w:tc>
        <w:tc>
          <w:p w14:paraId="03773048">
            <w:pPr>
              <w:jc w:val="left"/>
            </w:pPr>
            <w:r>
              <w:t>2型糖尿病</w:t>
            </w:r>
          </w:p>
        </w:tc>
        <w:tc>
          <w:p w14:paraId="099EFBFB">
            <w:pPr>
              <w:jc w:val="left"/>
            </w:pPr>
            <w:r>
              <w:t>XX</w:t>
            </w:r>
          </w:p>
        </w:tc>
        <w:tc>
          <w:p w14:paraId="60B775A2">
            <w:pPr>
              <w:jc w:val="left"/>
            </w:pPr>
            <w:r>
              <w:t>XX</w:t>
            </w:r>
          </w:p>
        </w:tc>
        <w:tc>
          <w:p w14:paraId="069F3333">
            <w:pPr>
              <w:jc w:val="left"/>
            </w:pPr>
            <w:r>
              <w:t>XX</w:t>
            </w:r>
          </w:p>
        </w:tc>
        <w:tc>
          <w:p w14:paraId="060C608F">
            <w:pPr>
              <w:jc w:val="left"/>
            </w:pPr>
            <w:r>
              <w:t>XX</w:t>
            </w:r>
          </w:p>
        </w:tc>
        <w:tc>
          <w:p w14:paraId="7430DDE8">
            <w:pPr>
              <w:jc w:val="left"/>
            </w:pPr>
            <w:r>
              <w:t>XX</w:t>
            </w:r>
          </w:p>
        </w:tc>
      </w:tr>
      <w:tr w14:paraId="039308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4E427200">
            <w:pPr>
              <w:jc w:val="left"/>
            </w:pPr>
            <w:r>
              <w:t>结构化数据脑卒中预测模型</w:t>
            </w:r>
          </w:p>
        </w:tc>
        <w:tc>
          <w:p w14:paraId="69290B22">
            <w:pPr>
              <w:jc w:val="left"/>
            </w:pPr>
            <w:r>
              <w:t>结构化</w:t>
            </w:r>
          </w:p>
        </w:tc>
        <w:tc>
          <w:p w14:paraId="48DB041C">
            <w:pPr>
              <w:jc w:val="left"/>
            </w:pPr>
            <w:r>
              <w:t>缺血性脑卒中</w:t>
            </w:r>
          </w:p>
        </w:tc>
        <w:tc>
          <w:p w14:paraId="43098487">
            <w:pPr>
              <w:jc w:val="left"/>
            </w:pPr>
            <w:r>
              <w:t>XX</w:t>
            </w:r>
          </w:p>
        </w:tc>
        <w:tc>
          <w:p w14:paraId="010C2561">
            <w:pPr>
              <w:jc w:val="left"/>
            </w:pPr>
            <w:r>
              <w:t>XX</w:t>
            </w:r>
          </w:p>
        </w:tc>
        <w:tc>
          <w:p w14:paraId="3249AA16">
            <w:pPr>
              <w:jc w:val="left"/>
            </w:pPr>
            <w:r>
              <w:t>XX</w:t>
            </w:r>
          </w:p>
        </w:tc>
        <w:tc>
          <w:p w14:paraId="16A91680">
            <w:pPr>
              <w:jc w:val="left"/>
            </w:pPr>
            <w:r>
              <w:t>XX</w:t>
            </w:r>
          </w:p>
        </w:tc>
        <w:tc>
          <w:p w14:paraId="1C2547CC">
            <w:pPr>
              <w:jc w:val="left"/>
            </w:pPr>
            <w:r>
              <w:t>XX</w:t>
            </w:r>
          </w:p>
        </w:tc>
      </w:tr>
      <w:tr w14:paraId="3EF2F1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70B1EBBC">
            <w:pPr>
              <w:jc w:val="left"/>
            </w:pPr>
            <w:r>
              <w:t>影像数据肝病预测模型</w:t>
            </w:r>
          </w:p>
        </w:tc>
        <w:tc>
          <w:p w14:paraId="611E8B0E">
            <w:pPr>
              <w:jc w:val="left"/>
            </w:pPr>
            <w:r>
              <w:t>医学影像</w:t>
            </w:r>
          </w:p>
        </w:tc>
        <w:tc>
          <w:p w14:paraId="79B4AEF8">
            <w:pPr>
              <w:jc w:val="left"/>
            </w:pPr>
            <w:r>
              <w:t>非酒精性肝病</w:t>
            </w:r>
          </w:p>
        </w:tc>
        <w:tc>
          <w:p w14:paraId="400F774D">
            <w:pPr>
              <w:jc w:val="left"/>
            </w:pPr>
            <w:r>
              <w:t>XX</w:t>
            </w:r>
          </w:p>
        </w:tc>
        <w:tc>
          <w:p w14:paraId="3061147A">
            <w:pPr>
              <w:jc w:val="left"/>
            </w:pPr>
            <w:r>
              <w:t>XX</w:t>
            </w:r>
          </w:p>
        </w:tc>
        <w:tc>
          <w:p w14:paraId="220622E5">
            <w:pPr>
              <w:jc w:val="left"/>
            </w:pPr>
            <w:r>
              <w:t>XX</w:t>
            </w:r>
          </w:p>
        </w:tc>
        <w:tc>
          <w:p w14:paraId="35F886B0">
            <w:pPr>
              <w:jc w:val="left"/>
            </w:pPr>
            <w:r>
              <w:t>XX</w:t>
            </w:r>
          </w:p>
        </w:tc>
        <w:tc>
          <w:p w14:paraId="445EBF40">
            <w:pPr>
              <w:jc w:val="left"/>
            </w:pPr>
            <w:r>
              <w:t>XX</w:t>
            </w:r>
          </w:p>
        </w:tc>
      </w:tr>
      <w:tr w14:paraId="6C17BB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22E07988">
            <w:pPr>
              <w:jc w:val="left"/>
            </w:pPr>
            <w:r>
              <w:t>影像数据糖尿病预测模型</w:t>
            </w:r>
          </w:p>
        </w:tc>
        <w:tc>
          <w:p w14:paraId="690E0BFF">
            <w:pPr>
              <w:jc w:val="left"/>
            </w:pPr>
            <w:r>
              <w:t>医学影像</w:t>
            </w:r>
          </w:p>
        </w:tc>
        <w:tc>
          <w:p w14:paraId="7E02195A">
            <w:pPr>
              <w:jc w:val="left"/>
            </w:pPr>
            <w:r>
              <w:t>2型糖尿病</w:t>
            </w:r>
          </w:p>
        </w:tc>
        <w:tc>
          <w:p w14:paraId="131F78C9">
            <w:pPr>
              <w:jc w:val="left"/>
            </w:pPr>
            <w:r>
              <w:t>XX</w:t>
            </w:r>
          </w:p>
        </w:tc>
        <w:tc>
          <w:p w14:paraId="32BCAB70">
            <w:pPr>
              <w:jc w:val="left"/>
            </w:pPr>
            <w:r>
              <w:t>XX</w:t>
            </w:r>
          </w:p>
        </w:tc>
        <w:tc>
          <w:p w14:paraId="74FE89C3">
            <w:pPr>
              <w:jc w:val="left"/>
            </w:pPr>
            <w:r>
              <w:t>XX</w:t>
            </w:r>
          </w:p>
        </w:tc>
        <w:tc>
          <w:p w14:paraId="5CE96E76">
            <w:pPr>
              <w:jc w:val="left"/>
            </w:pPr>
            <w:r>
              <w:t>XX</w:t>
            </w:r>
          </w:p>
        </w:tc>
        <w:tc>
          <w:p w14:paraId="3CDD3E42">
            <w:pPr>
              <w:jc w:val="left"/>
            </w:pPr>
            <w:r>
              <w:t>XX</w:t>
            </w:r>
          </w:p>
        </w:tc>
      </w:tr>
      <w:tr w14:paraId="03FC77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4BCE0E30">
            <w:pPr>
              <w:jc w:val="left"/>
            </w:pPr>
            <w:r>
              <w:t>影像数据脑卒中预测模型</w:t>
            </w:r>
          </w:p>
        </w:tc>
        <w:tc>
          <w:p w14:paraId="07D2BC5C">
            <w:pPr>
              <w:jc w:val="left"/>
            </w:pPr>
            <w:r>
              <w:t>医学影像</w:t>
            </w:r>
          </w:p>
        </w:tc>
        <w:tc>
          <w:p w14:paraId="7DBB01D9">
            <w:pPr>
              <w:jc w:val="left"/>
            </w:pPr>
            <w:r>
              <w:t>缺血性脑卒中</w:t>
            </w:r>
          </w:p>
        </w:tc>
        <w:tc>
          <w:p w14:paraId="4EBCB003">
            <w:pPr>
              <w:jc w:val="left"/>
            </w:pPr>
            <w:r>
              <w:t>XX</w:t>
            </w:r>
          </w:p>
        </w:tc>
        <w:tc>
          <w:p w14:paraId="6CFFFC69">
            <w:pPr>
              <w:jc w:val="left"/>
            </w:pPr>
            <w:r>
              <w:t>XX</w:t>
            </w:r>
          </w:p>
        </w:tc>
        <w:tc>
          <w:p w14:paraId="0747B60F">
            <w:pPr>
              <w:jc w:val="left"/>
            </w:pPr>
            <w:r>
              <w:t>XX</w:t>
            </w:r>
          </w:p>
        </w:tc>
        <w:tc>
          <w:p w14:paraId="74FC5908">
            <w:pPr>
              <w:jc w:val="left"/>
            </w:pPr>
            <w:r>
              <w:t>XX</w:t>
            </w:r>
          </w:p>
        </w:tc>
        <w:tc>
          <w:p w14:paraId="61214B31">
            <w:pPr>
              <w:jc w:val="left"/>
            </w:pPr>
            <w:r>
              <w:t>XX</w:t>
            </w:r>
          </w:p>
        </w:tc>
      </w:tr>
    </w:tbl>
    <w:p w14:paraId="5C847E0A">
      <w:pPr>
        <w:snapToGrid/>
        <w:spacing w:beforeAutospacing="0" w:afterAutospacing="0" w:line="560" w:lineRule="exact"/>
        <w:ind w:left="0" w:leftChars="0" w:right="0" w:rightChars="0" w:firstLine="482" w:firstLineChars="0"/>
        <w:jc w:val="left"/>
        <w:rPr>
          <w:rFonts w:ascii="仿宋" w:eastAsia="仿宋"/>
          <w:sz w:val="24"/>
        </w:rPr>
      </w:pPr>
    </w:p>
    <w:p w14:paraId="1752B8E4">
      <w:pPr>
        <w:pStyle w:val="4"/>
        <w:snapToGrid/>
        <w:spacing w:before="200" w:beforeAutospacing="0" w:after="100" w:afterAutospacing="0" w:line="240" w:lineRule="auto"/>
        <w:ind w:left="0" w:leftChars="0" w:right="0" w:rightChars="0" w:firstLine="0" w:firstLineChars="0"/>
        <w:jc w:val="left"/>
        <w:outlineLvl w:val="2"/>
        <w:rPr>
          <w:rFonts w:ascii="仿宋" w:eastAsia="仿宋"/>
          <w:b w:val="0"/>
          <w:color w:val="auto"/>
          <w:sz w:val="28"/>
        </w:rPr>
      </w:pPr>
      <w:r>
        <w:rPr>
          <w:rFonts w:ascii="仿宋" w:eastAsia="仿宋"/>
          <w:b w:val="0"/>
          <w:color w:val="auto"/>
          <w:sz w:val="28"/>
        </w:rPr>
        <w:t>6.2.2 双模态协同决策性能对比测试（必填，证明6模型协同价值）</w:t>
      </w:r>
    </w:p>
    <w:p w14:paraId="4E3B6F88">
      <w:p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b/>
          <w:bCs/>
          <w:sz w:val="24"/>
        </w:rPr>
        <w:t>必须配套单模态vs双模态协同性能对比三线表</w:t>
      </w:r>
      <w:r>
        <w:rPr>
          <w:rFonts w:ascii="仿宋" w:eastAsia="仿宋"/>
          <w:sz w:val="24"/>
        </w:rPr>
        <w:t>，示例如下：</w:t>
      </w:r>
    </w:p>
    <w:p w14:paraId="4CF97421">
      <w:pPr>
        <w:snapToGrid/>
        <w:spacing w:beforeAutospacing="0" w:afterAutospacing="0" w:line="560" w:lineRule="exact"/>
        <w:ind w:left="0" w:leftChars="0" w:right="0" w:rightChars="0" w:firstLine="482" w:firstLineChars="0"/>
        <w:jc w:val="left"/>
        <w:rPr>
          <w:rFonts w:ascii="仿宋" w:eastAsia="仿宋"/>
          <w:sz w:val="24"/>
        </w:rPr>
      </w:pPr>
    </w:p>
    <w:p w14:paraId="686A502E">
      <w:pPr>
        <w:spacing w:after="120"/>
        <w:ind w:left="0" w:leftChars="0" w:right="0" w:rightChars="0" w:firstLine="0" w:firstLineChars="0"/>
        <w:jc w:val="center"/>
        <w:rPr>
          <w:rFonts w:ascii="仿宋" w:eastAsia="仿宋"/>
          <w:b/>
          <w:sz w:val="24"/>
        </w:rPr>
      </w:pPr>
      <w:r>
        <w:rPr>
          <w:rFonts w:ascii="仿宋" w:eastAsia="仿宋"/>
          <w:b/>
          <w:sz w:val="24"/>
        </w:rPr>
        <w:t>表3 单模态与双模态协同预测性能对比表</w:t>
      </w:r>
    </w:p>
    <w:p w14:paraId="4406D128">
      <w:pPr>
        <w:snapToGrid/>
        <w:spacing w:beforeAutospacing="0" w:afterAutospacing="0" w:line="560" w:lineRule="exact"/>
        <w:ind w:left="0" w:leftChars="0" w:right="0" w:rightChars="0" w:firstLine="482" w:firstLineChars="0"/>
        <w:jc w:val="left"/>
        <w:rPr>
          <w:rFonts w:ascii="仿宋" w:eastAsia="仿宋"/>
          <w:sz w:val="24"/>
        </w:rPr>
      </w:pPr>
    </w:p>
    <w:tbl>
      <w:tblPr>
        <w:tblStyle w:val="1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1707"/>
        <w:gridCol w:w="1951"/>
        <w:gridCol w:w="1828"/>
        <w:gridCol w:w="2073"/>
        <w:gridCol w:w="1707"/>
      </w:tblGrid>
      <w:tr w14:paraId="4E1356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tblHeader/>
        </w:trPr>
        <w:tc>
          <w:p w14:paraId="79B76FAC">
            <w:pPr>
              <w:jc w:val="left"/>
            </w:pPr>
            <w:r>
              <w:rPr>
                <w:b/>
                <w:bCs/>
              </w:rPr>
              <w:t>对应病种</w:t>
            </w:r>
          </w:p>
        </w:tc>
        <w:tc>
          <w:p w14:paraId="7AA3EF27">
            <w:pPr>
              <w:jc w:val="left"/>
            </w:pPr>
            <w:r>
              <w:rPr>
                <w:b/>
                <w:bCs/>
              </w:rPr>
              <w:t>结构化单模型AUC</w:t>
            </w:r>
          </w:p>
        </w:tc>
        <w:tc>
          <w:p w14:paraId="62A6B597">
            <w:pPr>
              <w:jc w:val="left"/>
            </w:pPr>
            <w:r>
              <w:rPr>
                <w:b/>
                <w:bCs/>
              </w:rPr>
              <w:t>影像单模型AUC</w:t>
            </w:r>
          </w:p>
        </w:tc>
        <w:tc>
          <w:p w14:paraId="09A74BAE">
            <w:pPr>
              <w:jc w:val="left"/>
            </w:pPr>
            <w:r>
              <w:rPr>
                <w:b/>
                <w:bCs/>
              </w:rPr>
              <w:t>双模态协同预测AUC</w:t>
            </w:r>
          </w:p>
        </w:tc>
        <w:tc>
          <w:p w14:paraId="511C8E13">
            <w:pPr>
              <w:jc w:val="left"/>
            </w:pPr>
            <w:r>
              <w:rPr>
                <w:b/>
                <w:bCs/>
              </w:rPr>
              <w:t>性能提升幅度</w:t>
            </w:r>
          </w:p>
        </w:tc>
      </w:tr>
      <w:tr w14:paraId="258292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7CED6872">
            <w:pPr>
              <w:jc w:val="left"/>
            </w:pPr>
            <w:r>
              <w:t>非酒精性肝病</w:t>
            </w:r>
          </w:p>
        </w:tc>
        <w:tc>
          <w:p w14:paraId="3D14257B">
            <w:pPr>
              <w:jc w:val="left"/>
            </w:pPr>
            <w:r>
              <w:t>XX</w:t>
            </w:r>
          </w:p>
        </w:tc>
        <w:tc>
          <w:p w14:paraId="463EA907">
            <w:pPr>
              <w:jc w:val="left"/>
            </w:pPr>
            <w:r>
              <w:t>XX</w:t>
            </w:r>
          </w:p>
        </w:tc>
        <w:tc>
          <w:p w14:paraId="09D7E1B1">
            <w:pPr>
              <w:jc w:val="left"/>
            </w:pPr>
            <w:r>
              <w:t>XX</w:t>
            </w:r>
          </w:p>
        </w:tc>
        <w:tc>
          <w:p w14:paraId="3924B09A">
            <w:pPr>
              <w:jc w:val="left"/>
            </w:pPr>
            <w:r>
              <w:t>XX%</w:t>
            </w:r>
          </w:p>
        </w:tc>
      </w:tr>
      <w:tr w14:paraId="6581F7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7D638462">
            <w:pPr>
              <w:jc w:val="left"/>
            </w:pPr>
            <w:r>
              <w:t>2型糖尿病</w:t>
            </w:r>
          </w:p>
        </w:tc>
        <w:tc>
          <w:p w14:paraId="1417DD83">
            <w:pPr>
              <w:jc w:val="left"/>
            </w:pPr>
            <w:r>
              <w:t>XX</w:t>
            </w:r>
          </w:p>
        </w:tc>
        <w:tc>
          <w:p w14:paraId="7A80A921">
            <w:pPr>
              <w:jc w:val="left"/>
            </w:pPr>
            <w:r>
              <w:t>XX</w:t>
            </w:r>
          </w:p>
        </w:tc>
        <w:tc>
          <w:p w14:paraId="03B1A24A">
            <w:pPr>
              <w:jc w:val="left"/>
            </w:pPr>
            <w:r>
              <w:t>XX</w:t>
            </w:r>
          </w:p>
        </w:tc>
        <w:tc>
          <w:p w14:paraId="5CBE5D9F">
            <w:pPr>
              <w:jc w:val="left"/>
            </w:pPr>
            <w:r>
              <w:t>XX%</w:t>
            </w:r>
          </w:p>
        </w:tc>
      </w:tr>
      <w:tr w14:paraId="0374C2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111F5F9E">
            <w:pPr>
              <w:jc w:val="left"/>
            </w:pPr>
            <w:r>
              <w:t>缺血性脑卒中</w:t>
            </w:r>
          </w:p>
        </w:tc>
        <w:tc>
          <w:p w14:paraId="0A2D041D">
            <w:pPr>
              <w:jc w:val="left"/>
            </w:pPr>
            <w:r>
              <w:t>XX</w:t>
            </w:r>
          </w:p>
        </w:tc>
        <w:tc>
          <w:p w14:paraId="3ADA8711">
            <w:pPr>
              <w:jc w:val="left"/>
            </w:pPr>
            <w:r>
              <w:t>XX</w:t>
            </w:r>
          </w:p>
        </w:tc>
        <w:tc>
          <w:p w14:paraId="72148F48">
            <w:pPr>
              <w:jc w:val="left"/>
            </w:pPr>
            <w:r>
              <w:t>XX</w:t>
            </w:r>
          </w:p>
        </w:tc>
        <w:tc>
          <w:p w14:paraId="482465B5">
            <w:pPr>
              <w:jc w:val="left"/>
            </w:pPr>
            <w:r>
              <w:t>XX%</w:t>
            </w:r>
          </w:p>
        </w:tc>
      </w:tr>
    </w:tbl>
    <w:p w14:paraId="75DD8711">
      <w:pPr>
        <w:snapToGrid/>
        <w:spacing w:beforeAutospacing="0" w:afterAutospacing="0" w:line="560" w:lineRule="exact"/>
        <w:ind w:left="0" w:leftChars="0" w:right="0" w:rightChars="0" w:firstLine="482" w:firstLineChars="0"/>
        <w:jc w:val="left"/>
        <w:rPr>
          <w:rFonts w:ascii="仿宋" w:eastAsia="仿宋"/>
          <w:sz w:val="24"/>
        </w:rPr>
      </w:pPr>
    </w:p>
    <w:p w14:paraId="5E54A404">
      <w:pPr>
        <w:pStyle w:val="4"/>
        <w:snapToGrid/>
        <w:spacing w:before="200" w:beforeAutospacing="0" w:after="100" w:afterAutospacing="0" w:line="240" w:lineRule="auto"/>
        <w:ind w:left="0" w:leftChars="0" w:right="0" w:rightChars="0" w:firstLine="0" w:firstLineChars="0"/>
        <w:jc w:val="left"/>
        <w:outlineLvl w:val="2"/>
        <w:rPr>
          <w:rFonts w:ascii="仿宋" w:eastAsia="仿宋"/>
          <w:b w:val="0"/>
          <w:color w:val="auto"/>
          <w:sz w:val="28"/>
        </w:rPr>
      </w:pPr>
      <w:r>
        <w:rPr>
          <w:rFonts w:ascii="仿宋" w:eastAsia="仿宋"/>
          <w:b w:val="0"/>
          <w:color w:val="auto"/>
          <w:sz w:val="28"/>
        </w:rPr>
        <w:t>6.2.3 消融实验（必填，验证创新点有效性）</w:t>
      </w:r>
    </w:p>
    <w:p w14:paraId="610729C7">
      <w:p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针对核心创新点「双模态协同决策机制」做消融实验，</w:t>
      </w:r>
      <w:r>
        <w:rPr>
          <w:rFonts w:ascii="仿宋" w:eastAsia="仿宋"/>
          <w:b/>
          <w:bCs/>
          <w:sz w:val="24"/>
        </w:rPr>
        <w:t>配套消融实验结果三线表</w:t>
      </w:r>
      <w:r>
        <w:rPr>
          <w:rFonts w:ascii="仿宋" w:eastAsia="仿宋"/>
          <w:sz w:val="24"/>
        </w:rPr>
        <w:t>，验证该模块对模型性能的贡献，证明创新点的有效性。</w:t>
      </w:r>
    </w:p>
    <w:p w14:paraId="16A6D7B7">
      <w:pPr>
        <w:snapToGrid/>
        <w:spacing w:beforeAutospacing="0" w:afterAutospacing="0" w:line="560" w:lineRule="exact"/>
        <w:ind w:left="0" w:leftChars="0" w:right="0" w:rightChars="0" w:firstLine="482" w:firstLineChars="0"/>
        <w:jc w:val="left"/>
        <w:rPr>
          <w:rFonts w:ascii="仿宋" w:eastAsia="仿宋"/>
          <w:sz w:val="24"/>
        </w:rPr>
      </w:pPr>
    </w:p>
    <w:p w14:paraId="499C81E2">
      <w:pPr>
        <w:pStyle w:val="4"/>
        <w:snapToGrid/>
        <w:spacing w:before="200" w:beforeAutospacing="0" w:after="100" w:afterAutospacing="0" w:line="240" w:lineRule="auto"/>
        <w:ind w:left="0" w:leftChars="0" w:right="0" w:rightChars="0" w:firstLine="0" w:firstLineChars="0"/>
        <w:jc w:val="left"/>
        <w:outlineLvl w:val="2"/>
        <w:rPr>
          <w:rFonts w:ascii="仿宋" w:eastAsia="仿宋"/>
          <w:b w:val="0"/>
          <w:color w:val="auto"/>
          <w:sz w:val="28"/>
        </w:rPr>
      </w:pPr>
      <w:r>
        <w:rPr>
          <w:rFonts w:ascii="仿宋" w:eastAsia="仿宋"/>
          <w:b w:val="0"/>
          <w:color w:val="auto"/>
          <w:sz w:val="28"/>
        </w:rPr>
        <w:t>6.2.4 泛化性测试</w:t>
      </w:r>
    </w:p>
    <w:p w14:paraId="5E7FAC41">
      <w:p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通过多中心开源域外数据集测试，验证模型在不同人群、不同数据来源下的泛化能力，给出量化测试结果。</w:t>
      </w:r>
    </w:p>
    <w:p w14:paraId="7A7EF5A2">
      <w:pPr>
        <w:snapToGrid/>
        <w:spacing w:beforeAutospacing="0" w:afterAutospacing="0" w:line="560" w:lineRule="exact"/>
        <w:ind w:left="0" w:leftChars="0" w:right="0" w:rightChars="0" w:firstLine="482" w:firstLineChars="0"/>
        <w:jc w:val="left"/>
        <w:rPr>
          <w:rFonts w:ascii="仿宋" w:eastAsia="仿宋"/>
          <w:sz w:val="24"/>
        </w:rPr>
      </w:pPr>
    </w:p>
    <w:p w14:paraId="77EF0CD4">
      <w:pPr>
        <w:pStyle w:val="3"/>
        <w:snapToGrid/>
        <w:spacing w:before="200" w:beforeAutospacing="0" w:after="100" w:afterAutospacing="0" w:line="240" w:lineRule="auto"/>
        <w:ind w:left="0" w:leftChars="0" w:right="0" w:rightChars="0" w:firstLine="0" w:firstLineChars="0"/>
        <w:jc w:val="left"/>
        <w:outlineLvl w:val="1"/>
        <w:rPr>
          <w:rFonts w:ascii="楷体" w:eastAsia="楷体"/>
          <w:b w:val="0"/>
          <w:color w:val="auto"/>
          <w:sz w:val="32"/>
        </w:rPr>
      </w:pPr>
      <w:r>
        <w:rPr>
          <w:rFonts w:ascii="楷体" w:eastAsia="楷体"/>
          <w:b w:val="0"/>
          <w:color w:val="auto"/>
          <w:sz w:val="32"/>
        </w:rPr>
        <w:t>6.3 系统功能测试</w:t>
      </w:r>
    </w:p>
    <w:p w14:paraId="0BCE7509">
      <w:p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b/>
          <w:bCs/>
          <w:sz w:val="24"/>
        </w:rPr>
        <w:t>配套系统功能测试用例与结果三线表</w:t>
      </w:r>
      <w:r>
        <w:rPr>
          <w:rFonts w:ascii="仿宋" w:eastAsia="仿宋"/>
          <w:sz w:val="24"/>
        </w:rPr>
        <w:t>，覆盖所有核心功能（含3类个性化健康管理功能），明确测试用例、预期结果、实际结果、测试结论，证明所有功能均正常实现，通过率100%。</w:t>
      </w:r>
    </w:p>
    <w:p w14:paraId="069D047C">
      <w:pPr>
        <w:snapToGrid/>
        <w:spacing w:beforeAutospacing="0" w:afterAutospacing="0" w:line="560" w:lineRule="exact"/>
        <w:ind w:left="0" w:leftChars="0" w:right="0" w:rightChars="0" w:firstLine="482" w:firstLineChars="0"/>
        <w:jc w:val="left"/>
        <w:rPr>
          <w:rFonts w:ascii="仿宋" w:eastAsia="仿宋"/>
          <w:sz w:val="24"/>
        </w:rPr>
      </w:pPr>
    </w:p>
    <w:p w14:paraId="767BF001">
      <w:pPr>
        <w:pStyle w:val="3"/>
        <w:snapToGrid/>
        <w:spacing w:before="200" w:beforeAutospacing="0" w:after="100" w:afterAutospacing="0" w:line="240" w:lineRule="auto"/>
        <w:ind w:left="0" w:leftChars="0" w:right="0" w:rightChars="0" w:firstLine="0" w:firstLineChars="0"/>
        <w:jc w:val="left"/>
        <w:outlineLvl w:val="1"/>
        <w:rPr>
          <w:rFonts w:ascii="楷体" w:eastAsia="楷体"/>
          <w:b w:val="0"/>
          <w:color w:val="auto"/>
          <w:sz w:val="32"/>
        </w:rPr>
      </w:pPr>
      <w:r>
        <w:rPr>
          <w:rFonts w:ascii="楷体" w:eastAsia="楷体"/>
          <w:b w:val="0"/>
          <w:color w:val="auto"/>
          <w:sz w:val="32"/>
        </w:rPr>
        <w:t>6.4 3节点集群部署服务性能与可用性测试（必填，匹配3台电脑真实场景）</w:t>
      </w:r>
    </w:p>
    <w:p w14:paraId="47908414">
      <w:p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 xml:space="preserve">1. </w:t>
      </w:r>
      <w:r>
        <w:rPr>
          <w:rFonts w:ascii="仿宋" w:eastAsia="仿宋"/>
          <w:b/>
          <w:bCs/>
          <w:sz w:val="24"/>
        </w:rPr>
        <w:t>模型一致性测试</w:t>
      </w:r>
      <w:r>
        <w:rPr>
          <w:rFonts w:ascii="仿宋" w:eastAsia="仿宋"/>
          <w:sz w:val="24"/>
        </w:rPr>
        <w:t>：配套6模型集群部署与本地推理一致性验证三线表，证明部署后模型效果无损失；</w:t>
      </w:r>
    </w:p>
    <w:p w14:paraId="32EB2EBC">
      <w:p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 xml:space="preserve">2. </w:t>
      </w:r>
      <w:r>
        <w:rPr>
          <w:rFonts w:ascii="仿宋" w:eastAsia="仿宋"/>
          <w:b/>
          <w:bCs/>
          <w:sz w:val="24"/>
        </w:rPr>
        <w:t>并发性能测试</w:t>
      </w:r>
      <w:r>
        <w:rPr>
          <w:rFonts w:ascii="仿宋" w:eastAsia="仿宋"/>
          <w:sz w:val="24"/>
        </w:rPr>
        <w:t>：验证不同并发量下，平台整体响应时间、6个模型推理服务的平均响应时间、请求成功率，配套测试结果表，示例如下：</w:t>
      </w:r>
    </w:p>
    <w:p w14:paraId="484A6ED4">
      <w:pPr>
        <w:snapToGrid/>
        <w:spacing w:beforeAutospacing="0" w:afterAutospacing="0" w:line="560" w:lineRule="exact"/>
        <w:ind w:left="0" w:leftChars="0" w:right="0" w:rightChars="0" w:firstLine="482" w:firstLineChars="0"/>
        <w:jc w:val="left"/>
        <w:rPr>
          <w:rFonts w:ascii="仿宋" w:eastAsia="仿宋"/>
          <w:sz w:val="24"/>
        </w:rPr>
      </w:pPr>
    </w:p>
    <w:p w14:paraId="77B6165B">
      <w:pPr>
        <w:spacing w:after="120"/>
        <w:ind w:left="0" w:leftChars="0" w:right="0" w:rightChars="0" w:firstLine="0" w:firstLineChars="0"/>
        <w:jc w:val="center"/>
        <w:rPr>
          <w:rFonts w:ascii="仿宋" w:eastAsia="仿宋"/>
          <w:b/>
          <w:sz w:val="24"/>
        </w:rPr>
      </w:pPr>
      <w:r>
        <w:rPr>
          <w:rFonts w:ascii="仿宋" w:eastAsia="仿宋"/>
          <w:b/>
          <w:sz w:val="24"/>
        </w:rPr>
        <w:t>表4 3节点集群并发性能测试表</w:t>
      </w:r>
    </w:p>
    <w:p w14:paraId="7C9D1688">
      <w:pPr>
        <w:snapToGrid/>
        <w:spacing w:beforeAutospacing="0" w:afterAutospacing="0" w:line="560" w:lineRule="exact"/>
        <w:ind w:left="0" w:leftChars="0" w:right="0" w:rightChars="0" w:firstLine="482" w:firstLineChars="0"/>
        <w:jc w:val="left"/>
        <w:rPr>
          <w:rFonts w:ascii="仿宋" w:eastAsia="仿宋"/>
          <w:sz w:val="24"/>
        </w:rPr>
      </w:pPr>
    </w:p>
    <w:tbl>
      <w:tblPr>
        <w:tblStyle w:val="1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0" w:type="dxa"/>
          <w:left w:w="120" w:type="dxa"/>
          <w:bottom w:w="80" w:type="dxa"/>
          <w:right w:w="120" w:type="dxa"/>
        </w:tblCellMar>
      </w:tblPr>
      <w:tblGrid>
        <w:gridCol w:w="1585"/>
        <w:gridCol w:w="2438"/>
        <w:gridCol w:w="2195"/>
        <w:gridCol w:w="1585"/>
        <w:gridCol w:w="1463"/>
      </w:tblGrid>
      <w:tr w14:paraId="43948C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rPr>
          <w:tblHeader/>
        </w:trPr>
        <w:tc>
          <w:p w14:paraId="4F99DDE1">
            <w:pPr>
              <w:jc w:val="left"/>
            </w:pPr>
            <w:r>
              <w:rPr>
                <w:b/>
                <w:bCs/>
              </w:rPr>
              <w:t>并发用户数</w:t>
            </w:r>
          </w:p>
        </w:tc>
        <w:tc>
          <w:p w14:paraId="33976CDC">
            <w:pPr>
              <w:jc w:val="left"/>
            </w:pPr>
            <w:r>
              <w:rPr>
                <w:b/>
                <w:bCs/>
              </w:rPr>
              <w:t>单条预测请求平均响应时间</w:t>
            </w:r>
          </w:p>
        </w:tc>
        <w:tc>
          <w:p w14:paraId="11930E55">
            <w:pPr>
              <w:jc w:val="left"/>
            </w:pPr>
            <w:r>
              <w:rPr>
                <w:b/>
                <w:bCs/>
              </w:rPr>
              <w:t>页面加载平均响应时间</w:t>
            </w:r>
          </w:p>
        </w:tc>
        <w:tc>
          <w:p w14:paraId="7D0FFE54">
            <w:pPr>
              <w:jc w:val="left"/>
            </w:pPr>
            <w:r>
              <w:rPr>
                <w:b/>
                <w:bCs/>
              </w:rPr>
              <w:t>请求成功率</w:t>
            </w:r>
          </w:p>
        </w:tc>
        <w:tc>
          <w:p w14:paraId="665FD553">
            <w:pPr>
              <w:jc w:val="left"/>
            </w:pPr>
            <w:r>
              <w:rPr>
                <w:b/>
                <w:bCs/>
              </w:rPr>
              <w:t>服务状态</w:t>
            </w:r>
          </w:p>
        </w:tc>
      </w:tr>
      <w:tr w14:paraId="5F7E62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3F557175">
            <w:pPr>
              <w:jc w:val="left"/>
            </w:pPr>
            <w:r>
              <w:t>30并发</w:t>
            </w:r>
          </w:p>
        </w:tc>
        <w:tc>
          <w:p w14:paraId="69077006">
            <w:pPr>
              <w:jc w:val="left"/>
            </w:pPr>
            <w:r>
              <w:t>150ms</w:t>
            </w:r>
          </w:p>
        </w:tc>
        <w:tc>
          <w:p w14:paraId="17023DCD">
            <w:pPr>
              <w:jc w:val="left"/>
            </w:pPr>
            <w:r>
              <w:t>200ms</w:t>
            </w:r>
          </w:p>
        </w:tc>
        <w:tc>
          <w:p w14:paraId="32A14422">
            <w:pPr>
              <w:jc w:val="left"/>
            </w:pPr>
            <w:r>
              <w:t>100%</w:t>
            </w:r>
          </w:p>
        </w:tc>
        <w:tc>
          <w:p w14:paraId="33ADFFDE">
            <w:pPr>
              <w:jc w:val="left"/>
            </w:pPr>
            <w:r>
              <w:t>正常</w:t>
            </w:r>
          </w:p>
        </w:tc>
      </w:tr>
      <w:tr w14:paraId="419AC6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2A82DC8B">
            <w:pPr>
              <w:jc w:val="left"/>
            </w:pPr>
            <w:r>
              <w:t>50并发</w:t>
            </w:r>
          </w:p>
        </w:tc>
        <w:tc>
          <w:p w14:paraId="463181F9">
            <w:pPr>
              <w:jc w:val="left"/>
            </w:pPr>
            <w:r>
              <w:t>220ms</w:t>
            </w:r>
          </w:p>
        </w:tc>
        <w:tc>
          <w:p w14:paraId="50EFAB2F">
            <w:pPr>
              <w:jc w:val="left"/>
            </w:pPr>
            <w:r>
              <w:t>280ms</w:t>
            </w:r>
          </w:p>
        </w:tc>
        <w:tc>
          <w:p w14:paraId="0BF8F3CA">
            <w:pPr>
              <w:jc w:val="left"/>
            </w:pPr>
            <w:r>
              <w:t>100%</w:t>
            </w:r>
          </w:p>
        </w:tc>
        <w:tc>
          <w:p w14:paraId="5ED1EE1B">
            <w:pPr>
              <w:jc w:val="left"/>
            </w:pPr>
            <w:r>
              <w:t>正常</w:t>
            </w:r>
          </w:p>
        </w:tc>
      </w:tr>
      <w:tr w14:paraId="5BABD0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0" w:type="dxa"/>
            <w:left w:w="120" w:type="dxa"/>
            <w:bottom w:w="80" w:type="dxa"/>
            <w:right w:w="120" w:type="dxa"/>
          </w:tblCellMar>
        </w:tblPrEx>
        <w:tc>
          <w:p w14:paraId="61F2C10B">
            <w:pPr>
              <w:jc w:val="left"/>
            </w:pPr>
            <w:r>
              <w:t>100并发</w:t>
            </w:r>
          </w:p>
        </w:tc>
        <w:tc>
          <w:p w14:paraId="27EF7A70">
            <w:pPr>
              <w:jc w:val="left"/>
            </w:pPr>
            <w:r>
              <w:t>380ms</w:t>
            </w:r>
          </w:p>
        </w:tc>
        <w:tc>
          <w:p w14:paraId="13E6A335">
            <w:pPr>
              <w:jc w:val="left"/>
            </w:pPr>
            <w:r>
              <w:t>450ms</w:t>
            </w:r>
          </w:p>
        </w:tc>
        <w:tc>
          <w:p w14:paraId="7988D9FC">
            <w:pPr>
              <w:jc w:val="left"/>
            </w:pPr>
            <w:r>
              <w:t>99.9%</w:t>
            </w:r>
          </w:p>
        </w:tc>
        <w:tc>
          <w:p w14:paraId="4B383D7E">
            <w:pPr>
              <w:jc w:val="left"/>
            </w:pPr>
            <w:r>
              <w:t>正常</w:t>
            </w:r>
          </w:p>
        </w:tc>
      </w:tr>
    </w:tbl>
    <w:p w14:paraId="6438282C">
      <w:pPr>
        <w:snapToGrid/>
        <w:spacing w:beforeAutospacing="0" w:afterAutospacing="0" w:line="560" w:lineRule="exact"/>
        <w:ind w:left="0" w:leftChars="0" w:right="0" w:rightChars="0" w:firstLine="482" w:firstLineChars="0"/>
        <w:jc w:val="left"/>
        <w:rPr>
          <w:rFonts w:ascii="仿宋" w:eastAsia="仿宋"/>
          <w:sz w:val="24"/>
        </w:rPr>
      </w:pPr>
    </w:p>
    <w:p w14:paraId="7A4D81FD">
      <w:p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 xml:space="preserve">1. </w:t>
      </w:r>
      <w:r>
        <w:rPr>
          <w:rFonts w:ascii="仿宋" w:eastAsia="仿宋"/>
          <w:b/>
          <w:bCs/>
          <w:sz w:val="24"/>
        </w:rPr>
        <w:t>高可用测试</w:t>
      </w:r>
      <w:r>
        <w:rPr>
          <w:rFonts w:ascii="仿宋" w:eastAsia="仿宋"/>
          <w:sz w:val="24"/>
        </w:rPr>
        <w:t>：单节点/单服务故障下的自愈时间、业务中断时长，给出量化结果；</w:t>
      </w:r>
    </w:p>
    <w:p w14:paraId="37D2B9ED">
      <w:p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 xml:space="preserve">2. </w:t>
      </w:r>
      <w:r>
        <w:rPr>
          <w:rFonts w:ascii="仿宋" w:eastAsia="仿宋"/>
          <w:b/>
          <w:bCs/>
          <w:sz w:val="24"/>
        </w:rPr>
        <w:t>长期稳定性测试</w:t>
      </w:r>
      <w:r>
        <w:rPr>
          <w:rFonts w:ascii="仿宋" w:eastAsia="仿宋"/>
          <w:sz w:val="24"/>
        </w:rPr>
        <w:t>：7*24小时连续运行的服务可用性、无故障运行时长，给出量化结果。</w:t>
      </w:r>
    </w:p>
    <w:p w14:paraId="295D8642">
      <w:pPr>
        <w:snapToGrid/>
        <w:spacing w:beforeAutospacing="0" w:afterAutospacing="0" w:line="560" w:lineRule="exact"/>
        <w:ind w:left="0" w:leftChars="0" w:right="0" w:rightChars="0" w:firstLine="482" w:firstLineChars="0"/>
        <w:jc w:val="left"/>
        <w:rPr>
          <w:rFonts w:ascii="仿宋" w:eastAsia="仿宋"/>
          <w:sz w:val="24"/>
        </w:rPr>
      </w:pPr>
    </w:p>
    <w:p w14:paraId="19C4C83F">
      <w:pPr>
        <w:pStyle w:val="3"/>
        <w:snapToGrid/>
        <w:spacing w:before="200" w:beforeAutospacing="0" w:after="100" w:afterAutospacing="0" w:line="240" w:lineRule="auto"/>
        <w:ind w:left="0" w:leftChars="0" w:right="0" w:rightChars="0" w:firstLine="0" w:firstLineChars="0"/>
        <w:jc w:val="left"/>
        <w:outlineLvl w:val="1"/>
        <w:rPr>
          <w:rFonts w:ascii="楷体" w:eastAsia="楷体"/>
          <w:b w:val="0"/>
          <w:color w:val="auto"/>
          <w:sz w:val="32"/>
        </w:rPr>
      </w:pPr>
      <w:r>
        <w:rPr>
          <w:rFonts w:ascii="楷体" w:eastAsia="楷体"/>
          <w:b w:val="0"/>
          <w:color w:val="auto"/>
          <w:sz w:val="32"/>
        </w:rPr>
        <w:t>6.5 个性化健康管理模块有效性验证</w:t>
      </w:r>
    </w:p>
    <w:p w14:paraId="48D77D84">
      <w:p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1. 科普文章推荐准确率：测试不同风险分级用户的推荐内容匹配度，给出量化准确率；</w:t>
      </w:r>
    </w:p>
    <w:p w14:paraId="60964351">
      <w:p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2. 医疗机构推荐召回率：测试周边合规医疗机构的召回率、匹配度；</w:t>
      </w:r>
    </w:p>
    <w:p w14:paraId="00ABC826">
      <w:p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3. 干预方案合规性与满意度：通过医护专家评估、用户试用反馈，验证干预方案的合规性、个性化程度、用户满意度，给出量化评分。</w:t>
      </w:r>
    </w:p>
    <w:p w14:paraId="2C0B9906">
      <w:pPr>
        <w:snapToGrid/>
        <w:spacing w:beforeAutospacing="0" w:afterAutospacing="0" w:line="560" w:lineRule="exact"/>
        <w:ind w:left="0" w:leftChars="0" w:right="0" w:rightChars="0" w:firstLine="482" w:firstLineChars="0"/>
        <w:jc w:val="left"/>
        <w:rPr>
          <w:rFonts w:ascii="仿宋" w:eastAsia="仿宋"/>
          <w:sz w:val="24"/>
        </w:rPr>
      </w:pPr>
    </w:p>
    <w:p w14:paraId="66432D29">
      <w:pPr>
        <w:pStyle w:val="3"/>
        <w:snapToGrid/>
        <w:spacing w:before="200" w:beforeAutospacing="0" w:after="100" w:afterAutospacing="0" w:line="240" w:lineRule="auto"/>
        <w:ind w:left="0" w:leftChars="0" w:right="0" w:rightChars="0" w:firstLine="0" w:firstLineChars="0"/>
        <w:jc w:val="left"/>
        <w:outlineLvl w:val="1"/>
        <w:rPr>
          <w:rFonts w:ascii="楷体" w:eastAsia="楷体"/>
          <w:b w:val="0"/>
          <w:color w:val="auto"/>
          <w:sz w:val="32"/>
        </w:rPr>
      </w:pPr>
      <w:r>
        <w:rPr>
          <w:rFonts w:ascii="楷体" w:eastAsia="楷体"/>
          <w:b w:val="0"/>
          <w:color w:val="auto"/>
          <w:sz w:val="32"/>
        </w:rPr>
        <w:t>6.6 测试结论</w:t>
      </w:r>
    </w:p>
    <w:p w14:paraId="61BDC493">
      <w:p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总结：模型性能达到预期目标，双模态协同预测较单模态方案有显著提升；系统所有功能均正常实现，3节点集群部署后服务稳定，满足设计需求与落地应用要求；个性化健康管理模块内容合规、匹配度高，达到设计目标。</w:t>
      </w:r>
    </w:p>
    <w:p w14:paraId="77567778">
      <w:pPr>
        <w:snapToGrid/>
        <w:spacing w:beforeAutospacing="0" w:afterAutospacing="0" w:line="560" w:lineRule="exact"/>
        <w:ind w:left="0" w:leftChars="0" w:right="0" w:rightChars="0" w:firstLine="482" w:firstLineChars="0"/>
        <w:jc w:val="left"/>
        <w:rPr>
          <w:rFonts w:ascii="仿宋" w:eastAsia="仿宋"/>
          <w:sz w:val="24"/>
        </w:rPr>
      </w:pPr>
    </w:p>
    <w:p w14:paraId="4F5940A8">
      <w:pPr>
        <w:rPr>
          <w:rFonts w:ascii="黑体" w:eastAsia="黑体"/>
          <w:b w:val="0"/>
          <w:color w:val="auto"/>
          <w:sz w:val="32"/>
        </w:rPr>
      </w:pPr>
      <w:r>
        <w:rPr>
          <w:rFonts w:ascii="黑体" w:eastAsia="黑体"/>
          <w:b w:val="0"/>
          <w:color w:val="auto"/>
          <w:sz w:val="32"/>
        </w:rPr>
        <w:br w:type="page"/>
      </w:r>
    </w:p>
    <w:p w14:paraId="1269E1BD">
      <w:pPr>
        <w:pStyle w:val="2"/>
        <w:snapToGrid/>
        <w:spacing w:before="200" w:beforeAutospacing="0" w:after="100" w:afterAutospacing="0" w:line="240" w:lineRule="auto"/>
        <w:ind w:left="0" w:leftChars="0" w:right="0" w:rightChars="0" w:firstLine="0" w:firstLineChars="0"/>
        <w:jc w:val="left"/>
        <w:outlineLvl w:val="0"/>
        <w:rPr>
          <w:rFonts w:ascii="黑体" w:eastAsia="黑体"/>
          <w:b w:val="0"/>
          <w:color w:val="auto"/>
          <w:sz w:val="32"/>
        </w:rPr>
      </w:pPr>
      <w:r>
        <w:rPr>
          <w:rFonts w:ascii="黑体" w:eastAsia="黑体"/>
          <w:b w:val="0"/>
          <w:color w:val="auto"/>
          <w:sz w:val="32"/>
        </w:rPr>
        <w:t>第7章 作品特色与创新点（评审核心打分项，必填，单独成章，已适配所有调整内容）</w:t>
      </w:r>
    </w:p>
    <w:p w14:paraId="6E9286AE">
      <w:p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【填写规范】提炼3-5个核心创新点，每个创新点采用「创新点描述+技术实现+量化效果」的结构撰写，拒绝空喊口号，所有创新点必须有前文的技术方案与测试数据支撑。</w:t>
      </w:r>
    </w:p>
    <w:p w14:paraId="556F1331">
      <w:pPr>
        <w:snapToGrid/>
        <w:spacing w:beforeAutospacing="0" w:afterAutospacing="0" w:line="560" w:lineRule="exact"/>
        <w:ind w:left="0" w:leftChars="0" w:right="0" w:rightChars="0" w:firstLine="482" w:firstLineChars="0"/>
        <w:jc w:val="left"/>
        <w:rPr>
          <w:rFonts w:ascii="仿宋" w:eastAsia="仿宋"/>
          <w:sz w:val="24"/>
        </w:rPr>
      </w:pPr>
    </w:p>
    <w:p w14:paraId="12BCC7FB">
      <w:p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【适配本作品示例框架】</w:t>
      </w:r>
    </w:p>
    <w:p w14:paraId="1CEB0EA8">
      <w:pPr>
        <w:snapToGrid/>
        <w:spacing w:beforeAutospacing="0" w:afterAutospacing="0" w:line="560" w:lineRule="exact"/>
        <w:ind w:left="0" w:leftChars="0" w:right="0" w:rightChars="0" w:firstLine="482" w:firstLineChars="0"/>
        <w:jc w:val="left"/>
        <w:rPr>
          <w:rFonts w:ascii="仿宋" w:eastAsia="仿宋"/>
          <w:sz w:val="24"/>
        </w:rPr>
      </w:pPr>
    </w:p>
    <w:p w14:paraId="65FED0AE">
      <w:pPr>
        <w:pStyle w:val="3"/>
        <w:snapToGrid/>
        <w:spacing w:before="200" w:beforeAutospacing="0" w:after="100" w:afterAutospacing="0" w:line="240" w:lineRule="auto"/>
        <w:ind w:left="0" w:leftChars="0" w:right="0" w:rightChars="0" w:firstLine="0" w:firstLineChars="0"/>
        <w:jc w:val="left"/>
        <w:outlineLvl w:val="1"/>
        <w:rPr>
          <w:rFonts w:ascii="楷体" w:eastAsia="楷体"/>
          <w:b w:val="0"/>
          <w:color w:val="auto"/>
          <w:sz w:val="32"/>
        </w:rPr>
      </w:pPr>
      <w:r>
        <w:rPr>
          <w:rFonts w:ascii="楷体" w:eastAsia="楷体"/>
          <w:b w:val="0"/>
          <w:color w:val="auto"/>
          <w:sz w:val="32"/>
        </w:rPr>
        <w:t>7.1 双模态多模型协同预测架构创新</w:t>
      </w:r>
    </w:p>
    <w:p w14:paraId="29DB862B">
      <w:p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打破传统单模态慢病早筛的局限，基于权威开源数据集构建了3个结构化+3个影像的6模型预测体系，提出双阶段加权融合协同决策机制，充分发挥结构化数据全维度危险因素覆盖与影像数据病灶直观评估的互补优势，较单模态基线模型平均AUC提升XX%，解决了单模态数据早筛漏检率高、假阳性率高的核心痛点。</w:t>
      </w:r>
    </w:p>
    <w:p w14:paraId="4435E187">
      <w:pPr>
        <w:snapToGrid/>
        <w:spacing w:beforeAutospacing="0" w:afterAutospacing="0" w:line="560" w:lineRule="exact"/>
        <w:ind w:left="0" w:leftChars="0" w:right="0" w:rightChars="0" w:firstLine="482" w:firstLineChars="0"/>
        <w:jc w:val="left"/>
        <w:rPr>
          <w:rFonts w:ascii="仿宋" w:eastAsia="仿宋"/>
          <w:sz w:val="24"/>
        </w:rPr>
      </w:pPr>
    </w:p>
    <w:p w14:paraId="49CDF60C">
      <w:pPr>
        <w:pStyle w:val="3"/>
        <w:snapToGrid/>
        <w:spacing w:before="200" w:beforeAutospacing="0" w:after="100" w:afterAutospacing="0" w:line="240" w:lineRule="auto"/>
        <w:ind w:left="0" w:leftChars="0" w:right="0" w:rightChars="0" w:firstLine="0" w:firstLineChars="0"/>
        <w:jc w:val="left"/>
        <w:outlineLvl w:val="1"/>
        <w:rPr>
          <w:rFonts w:ascii="楷体" w:eastAsia="楷体"/>
          <w:b w:val="0"/>
          <w:color w:val="auto"/>
          <w:sz w:val="32"/>
        </w:rPr>
      </w:pPr>
      <w:r>
        <w:rPr>
          <w:rFonts w:ascii="楷体" w:eastAsia="楷体"/>
          <w:b w:val="0"/>
          <w:color w:val="auto"/>
          <w:sz w:val="32"/>
        </w:rPr>
        <w:t>7.2 全流程医疗级可解释性创新</w:t>
      </w:r>
    </w:p>
    <w:p w14:paraId="6779C947">
      <w:p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针对结构化模型实现危险因素贡献度可视化，针对影像模型实现病灶区域热力图可视化，结合双模态协同决策逻辑的透明化呈现，打破了医疗AI黑箱模型的落地障碍，完全匹配临床医师诊断逻辑，大幅提升了用户与基层医护的认可度。</w:t>
      </w:r>
    </w:p>
    <w:p w14:paraId="500081C8">
      <w:pPr>
        <w:snapToGrid/>
        <w:spacing w:beforeAutospacing="0" w:afterAutospacing="0" w:line="560" w:lineRule="exact"/>
        <w:ind w:left="0" w:leftChars="0" w:right="0" w:rightChars="0" w:firstLine="482" w:firstLineChars="0"/>
        <w:jc w:val="left"/>
        <w:rPr>
          <w:rFonts w:ascii="仿宋" w:eastAsia="仿宋"/>
          <w:sz w:val="24"/>
        </w:rPr>
      </w:pPr>
    </w:p>
    <w:p w14:paraId="5A8D1FE1">
      <w:pPr>
        <w:pStyle w:val="3"/>
        <w:snapToGrid/>
        <w:spacing w:before="200" w:beforeAutospacing="0" w:after="100" w:afterAutospacing="0" w:line="240" w:lineRule="auto"/>
        <w:ind w:left="0" w:leftChars="0" w:right="0" w:rightChars="0" w:firstLine="0" w:firstLineChars="0"/>
        <w:jc w:val="left"/>
        <w:outlineLvl w:val="1"/>
        <w:rPr>
          <w:rFonts w:ascii="楷体" w:eastAsia="楷体"/>
          <w:b w:val="0"/>
          <w:color w:val="auto"/>
          <w:sz w:val="32"/>
        </w:rPr>
      </w:pPr>
      <w:r>
        <w:rPr>
          <w:rFonts w:ascii="楷体" w:eastAsia="楷体"/>
          <w:b w:val="0"/>
          <w:color w:val="auto"/>
          <w:sz w:val="32"/>
        </w:rPr>
        <w:t>7.3 多维度全闭环个性化健康管理创新</w:t>
      </w:r>
    </w:p>
    <w:p w14:paraId="55704828">
      <w:p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构建了「科普文章推荐-医疗机构精准推荐-大模型个性化干预方案生成」的多维度健康管理体系，基于权威临床指南与用户个体风险特征，实现全周期、个性化的慢病管理服务，解决了现有方案「重诊断、轻管理、同质化严重」的行业痛点。</w:t>
      </w:r>
    </w:p>
    <w:p w14:paraId="74C41C01">
      <w:pPr>
        <w:snapToGrid/>
        <w:spacing w:beforeAutospacing="0" w:afterAutospacing="0" w:line="560" w:lineRule="exact"/>
        <w:ind w:left="0" w:leftChars="0" w:right="0" w:rightChars="0" w:firstLine="482" w:firstLineChars="0"/>
        <w:jc w:val="left"/>
        <w:rPr>
          <w:rFonts w:ascii="仿宋" w:eastAsia="仿宋"/>
          <w:sz w:val="24"/>
        </w:rPr>
      </w:pPr>
    </w:p>
    <w:p w14:paraId="7C1D5691">
      <w:pPr>
        <w:pStyle w:val="3"/>
        <w:snapToGrid/>
        <w:spacing w:before="200" w:beforeAutospacing="0" w:after="100" w:afterAutospacing="0" w:line="240" w:lineRule="auto"/>
        <w:ind w:left="0" w:leftChars="0" w:right="0" w:rightChars="0" w:firstLine="0" w:firstLineChars="0"/>
        <w:jc w:val="left"/>
        <w:outlineLvl w:val="1"/>
        <w:rPr>
          <w:rFonts w:ascii="楷体" w:eastAsia="楷体"/>
          <w:b w:val="0"/>
          <w:color w:val="auto"/>
          <w:sz w:val="32"/>
        </w:rPr>
      </w:pPr>
      <w:r>
        <w:rPr>
          <w:rFonts w:ascii="楷体" w:eastAsia="楷体"/>
          <w:b w:val="0"/>
          <w:color w:val="auto"/>
          <w:sz w:val="32"/>
        </w:rPr>
        <w:t>7.4 低成本可复刻的轻量化集群部署创新</w:t>
      </w:r>
    </w:p>
    <w:p w14:paraId="64C226A9">
      <w:p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基于3台普通物理电脑搭建了1主2从的轻量级K3s集群，实现了6个模型推理服务的独立调度与平台的生产级部署，服务可用性达99.9%，可支撑100+并发用户同时访问，无需依赖高价云服务器，大幅降低了平台的部署成本与落地门槛，完全适配基层医疗机构的本地化部署需求。</w:t>
      </w:r>
    </w:p>
    <w:p w14:paraId="66CE3A66">
      <w:pPr>
        <w:snapToGrid/>
        <w:spacing w:beforeAutospacing="0" w:afterAutospacing="0" w:line="560" w:lineRule="exact"/>
        <w:ind w:left="0" w:leftChars="0" w:right="0" w:rightChars="0" w:firstLine="482" w:firstLineChars="0"/>
        <w:jc w:val="left"/>
        <w:rPr>
          <w:rFonts w:ascii="仿宋" w:eastAsia="仿宋"/>
          <w:sz w:val="24"/>
        </w:rPr>
      </w:pPr>
    </w:p>
    <w:p w14:paraId="00E5C46D">
      <w:pPr>
        <w:rPr>
          <w:rFonts w:ascii="黑体" w:eastAsia="黑体"/>
          <w:b w:val="0"/>
          <w:color w:val="auto"/>
          <w:sz w:val="32"/>
        </w:rPr>
      </w:pPr>
      <w:r>
        <w:rPr>
          <w:rFonts w:ascii="黑体" w:eastAsia="黑体"/>
          <w:b w:val="0"/>
          <w:color w:val="auto"/>
          <w:sz w:val="32"/>
        </w:rPr>
        <w:br w:type="page"/>
      </w:r>
    </w:p>
    <w:p w14:paraId="40A3A187">
      <w:pPr>
        <w:pStyle w:val="2"/>
        <w:snapToGrid/>
        <w:spacing w:before="200" w:beforeAutospacing="0" w:after="100" w:afterAutospacing="0" w:line="240" w:lineRule="auto"/>
        <w:ind w:left="0" w:leftChars="0" w:right="0" w:rightChars="0" w:firstLine="0" w:firstLineChars="0"/>
        <w:jc w:val="left"/>
        <w:outlineLvl w:val="0"/>
        <w:rPr>
          <w:rFonts w:ascii="黑体" w:eastAsia="黑体"/>
          <w:b w:val="0"/>
          <w:color w:val="auto"/>
          <w:sz w:val="32"/>
        </w:rPr>
      </w:pPr>
      <w:r>
        <w:rPr>
          <w:rFonts w:ascii="黑体" w:eastAsia="黑体"/>
          <w:b w:val="0"/>
          <w:color w:val="auto"/>
          <w:sz w:val="32"/>
        </w:rPr>
        <w:t>第8章 应用推广与价值分析（必填，体现作品落地价值）</w:t>
      </w:r>
    </w:p>
    <w:p w14:paraId="43DC75CF">
      <w:pPr>
        <w:pStyle w:val="3"/>
        <w:snapToGrid/>
        <w:spacing w:before="200" w:beforeAutospacing="0" w:after="100" w:afterAutospacing="0" w:line="240" w:lineRule="auto"/>
        <w:ind w:left="0" w:leftChars="0" w:right="0" w:rightChars="0" w:firstLine="0" w:firstLineChars="0"/>
        <w:jc w:val="left"/>
        <w:outlineLvl w:val="1"/>
        <w:rPr>
          <w:rFonts w:ascii="楷体" w:eastAsia="楷体"/>
          <w:b w:val="0"/>
          <w:color w:val="auto"/>
          <w:sz w:val="32"/>
        </w:rPr>
      </w:pPr>
      <w:r>
        <w:rPr>
          <w:rFonts w:ascii="楷体" w:eastAsia="楷体"/>
          <w:b w:val="0"/>
          <w:color w:val="auto"/>
          <w:sz w:val="32"/>
        </w:rPr>
        <w:t>8.1 核心应用场景</w:t>
      </w:r>
    </w:p>
    <w:p w14:paraId="268CB4F8">
      <w:p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分场景详细说明作品的适用场景与落地方式：</w:t>
      </w:r>
    </w:p>
    <w:p w14:paraId="6D6F0E68">
      <w:pPr>
        <w:snapToGrid/>
        <w:spacing w:beforeAutospacing="0" w:afterAutospacing="0" w:line="560" w:lineRule="exact"/>
        <w:ind w:left="0" w:leftChars="0" w:right="0" w:rightChars="0" w:firstLine="482" w:firstLineChars="0"/>
        <w:jc w:val="left"/>
        <w:rPr>
          <w:rFonts w:ascii="仿宋" w:eastAsia="仿宋"/>
          <w:sz w:val="24"/>
        </w:rPr>
      </w:pPr>
    </w:p>
    <w:p w14:paraId="1F39E9F1">
      <w:p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1. 居家健康管理场景：普通用户居家完成慢病风险自测，获取精准科普、就医指引与个性化干预方案，实现自我健康管理；</w:t>
      </w:r>
    </w:p>
    <w:p w14:paraId="36758E94">
      <w:p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2. 基层医疗场景：社区卫生服务中心、乡镇卫生院用于慢病高危人群筛查，提升基层慢病早筛能力与健康管理水平；</w:t>
      </w:r>
    </w:p>
    <w:p w14:paraId="68983C66">
      <w:p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3. 体检机构场景：对接体检系统，为体检用户提供更精准的慢病风险报告、危险因素分析与全维度健康管理方案；</w:t>
      </w:r>
    </w:p>
    <w:p w14:paraId="082B3CCE">
      <w:p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4. 高校健康教育场景：作为高校公共卫生、医学相关专业的教学演示工具，用于慢病防控科普与实践教学。</w:t>
      </w:r>
    </w:p>
    <w:p w14:paraId="00E28A2C">
      <w:pPr>
        <w:snapToGrid/>
        <w:spacing w:beforeAutospacing="0" w:afterAutospacing="0" w:line="560" w:lineRule="exact"/>
        <w:ind w:left="0" w:leftChars="0" w:right="0" w:rightChars="0" w:firstLine="482" w:firstLineChars="0"/>
        <w:jc w:val="left"/>
        <w:rPr>
          <w:rFonts w:ascii="仿宋" w:eastAsia="仿宋"/>
          <w:sz w:val="24"/>
        </w:rPr>
      </w:pPr>
    </w:p>
    <w:p w14:paraId="5EA670B4">
      <w:pPr>
        <w:pStyle w:val="3"/>
        <w:snapToGrid/>
        <w:spacing w:before="200" w:beforeAutospacing="0" w:after="100" w:afterAutospacing="0" w:line="240" w:lineRule="auto"/>
        <w:ind w:left="0" w:leftChars="0" w:right="0" w:rightChars="0" w:firstLine="0" w:firstLineChars="0"/>
        <w:jc w:val="left"/>
        <w:outlineLvl w:val="1"/>
        <w:rPr>
          <w:rFonts w:ascii="楷体" w:eastAsia="楷体"/>
          <w:b w:val="0"/>
          <w:color w:val="auto"/>
          <w:sz w:val="32"/>
        </w:rPr>
      </w:pPr>
      <w:r>
        <w:rPr>
          <w:rFonts w:ascii="楷体" w:eastAsia="楷体"/>
          <w:b w:val="0"/>
          <w:color w:val="auto"/>
          <w:sz w:val="32"/>
        </w:rPr>
        <w:t>8.2 应用推广计划/落地进展</w:t>
      </w:r>
    </w:p>
    <w:p w14:paraId="0C89EAF8">
      <w:pPr>
        <w:pStyle w:val="14"/>
        <w:numPr>
          <w:ilvl w:val="0"/>
          <w:numId w:val="1"/>
        </w:num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已落地试点：若有合作社区、高校校医院、体检机构的试点，详细说明试点情况、用户反馈、应用效果；</w:t>
      </w:r>
    </w:p>
    <w:p w14:paraId="05E13A3F">
      <w:pPr>
        <w:pStyle w:val="14"/>
        <w:numPr>
          <w:ilvl w:val="0"/>
          <w:numId w:val="1"/>
        </w:num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推广计划：未落地试点需制定分阶段推广计划，如第一阶段在高校校医院/周边社区试点，第二阶段与本地体检机构合作推广，第三阶段面向周边地市基层医疗机构推广。</w:t>
      </w:r>
    </w:p>
    <w:p w14:paraId="2B4AFC56">
      <w:pPr>
        <w:snapToGrid/>
        <w:spacing w:beforeAutospacing="0" w:afterAutospacing="0" w:line="560" w:lineRule="exact"/>
        <w:ind w:left="0" w:leftChars="0" w:right="0" w:rightChars="0" w:firstLine="482" w:firstLineChars="0"/>
        <w:jc w:val="left"/>
        <w:rPr>
          <w:rFonts w:ascii="仿宋" w:eastAsia="仿宋"/>
          <w:sz w:val="24"/>
        </w:rPr>
      </w:pPr>
    </w:p>
    <w:p w14:paraId="341FC670">
      <w:pPr>
        <w:pStyle w:val="3"/>
        <w:snapToGrid/>
        <w:spacing w:before="200" w:beforeAutospacing="0" w:after="100" w:afterAutospacing="0" w:line="240" w:lineRule="auto"/>
        <w:ind w:left="0" w:leftChars="0" w:right="0" w:rightChars="0" w:firstLine="0" w:firstLineChars="0"/>
        <w:jc w:val="left"/>
        <w:outlineLvl w:val="1"/>
        <w:rPr>
          <w:rFonts w:ascii="楷体" w:eastAsia="楷体"/>
          <w:b w:val="0"/>
          <w:color w:val="auto"/>
          <w:sz w:val="32"/>
        </w:rPr>
      </w:pPr>
      <w:r>
        <w:rPr>
          <w:rFonts w:ascii="楷体" w:eastAsia="楷体"/>
          <w:b w:val="0"/>
          <w:color w:val="auto"/>
          <w:sz w:val="32"/>
        </w:rPr>
        <w:t>8.3 社会价值与经济效益</w:t>
      </w:r>
    </w:p>
    <w:p w14:paraId="2A5DD078">
      <w:pPr>
        <w:pStyle w:val="14"/>
        <w:numPr>
          <w:ilvl w:val="0"/>
          <w:numId w:val="1"/>
        </w:num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社会价值：提升慢病早筛率，实现慢病的早发现、早干预、早治疗，降低慢病的发病率、致残率与死亡率，减轻国家医保负担，助力「健康中国2030」战略落地；</w:t>
      </w:r>
    </w:p>
    <w:p w14:paraId="54B9CC96">
      <w:pPr>
        <w:pStyle w:val="14"/>
        <w:numPr>
          <w:ilvl w:val="0"/>
          <w:numId w:val="1"/>
        </w:num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经济效益：降低个人慢病医疗支出，提升基层医疗机构的服务能力与营收空间，无需高价云服务器部署，运维成本低，具备明确的商业化潜力。</w:t>
      </w:r>
    </w:p>
    <w:p w14:paraId="3A2C8333">
      <w:pPr>
        <w:snapToGrid/>
        <w:spacing w:beforeAutospacing="0" w:afterAutospacing="0" w:line="560" w:lineRule="exact"/>
        <w:ind w:left="0" w:leftChars="0" w:right="0" w:rightChars="0" w:firstLine="482" w:firstLineChars="0"/>
        <w:jc w:val="left"/>
        <w:rPr>
          <w:rFonts w:ascii="仿宋" w:eastAsia="仿宋"/>
          <w:sz w:val="24"/>
        </w:rPr>
      </w:pPr>
    </w:p>
    <w:p w14:paraId="54D75F18">
      <w:pPr>
        <w:rPr>
          <w:rFonts w:ascii="仿宋" w:eastAsia="仿宋"/>
          <w:sz w:val="24"/>
        </w:rPr>
      </w:pPr>
      <w:r>
        <w:rPr>
          <w:rFonts w:ascii="仿宋" w:eastAsia="仿宋"/>
          <w:sz w:val="24"/>
        </w:rPr>
        <w:br w:type="page"/>
      </w:r>
    </w:p>
    <w:p w14:paraId="71FE55B9">
      <w:pPr>
        <w:pStyle w:val="2"/>
        <w:snapToGrid/>
        <w:spacing w:before="200" w:beforeAutospacing="0" w:after="100" w:afterAutospacing="0" w:line="240" w:lineRule="auto"/>
        <w:ind w:left="0" w:leftChars="0" w:right="0" w:rightChars="0" w:firstLine="0" w:firstLineChars="0"/>
        <w:jc w:val="left"/>
        <w:outlineLvl w:val="0"/>
        <w:rPr>
          <w:rFonts w:ascii="黑体" w:eastAsia="黑体"/>
          <w:b w:val="0"/>
          <w:color w:val="auto"/>
          <w:sz w:val="32"/>
        </w:rPr>
      </w:pPr>
      <w:r>
        <w:rPr>
          <w:rFonts w:ascii="黑体" w:eastAsia="黑体"/>
          <w:b w:val="0"/>
          <w:color w:val="auto"/>
          <w:sz w:val="32"/>
        </w:rPr>
        <w:t>第9章 总结与展望（必填，客观严谨）</w:t>
      </w:r>
    </w:p>
    <w:p w14:paraId="3C30E7E0">
      <w:pPr>
        <w:pStyle w:val="3"/>
        <w:snapToGrid/>
        <w:spacing w:before="200" w:beforeAutospacing="0" w:after="100" w:afterAutospacing="0" w:line="240" w:lineRule="auto"/>
        <w:ind w:left="0" w:leftChars="0" w:right="0" w:rightChars="0" w:firstLine="0" w:firstLineChars="0"/>
        <w:jc w:val="left"/>
        <w:outlineLvl w:val="1"/>
        <w:rPr>
          <w:rFonts w:ascii="楷体" w:eastAsia="楷体"/>
          <w:b w:val="0"/>
          <w:color w:val="auto"/>
          <w:sz w:val="32"/>
        </w:rPr>
      </w:pPr>
      <w:r>
        <w:rPr>
          <w:rFonts w:ascii="楷体" w:eastAsia="楷体"/>
          <w:b w:val="0"/>
          <w:color w:val="auto"/>
          <w:sz w:val="32"/>
        </w:rPr>
        <w:t>9.1 作品总结</w:t>
      </w:r>
    </w:p>
    <w:p w14:paraId="05B154A5">
      <w:p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全面总结作品的核心工作：针对什么临床痛点，基于什么开源数据集，完成了什么核心工作（6组数据集构建、6个模型研发、双模态协同机制设计、多维度健康管理模块开发、3节点集群部署），取得了什么核心成果（模型性能、创新点、功能实现），解决了什么核心问题，具备什么应用价值。</w:t>
      </w:r>
    </w:p>
    <w:p w14:paraId="36F7DAFC">
      <w:pPr>
        <w:snapToGrid/>
        <w:spacing w:beforeAutospacing="0" w:afterAutospacing="0" w:line="560" w:lineRule="exact"/>
        <w:ind w:left="0" w:leftChars="0" w:right="0" w:rightChars="0" w:firstLine="482" w:firstLineChars="0"/>
        <w:jc w:val="left"/>
        <w:rPr>
          <w:rFonts w:ascii="仿宋" w:eastAsia="仿宋"/>
          <w:sz w:val="24"/>
        </w:rPr>
      </w:pPr>
    </w:p>
    <w:p w14:paraId="7C2E0C10">
      <w:pPr>
        <w:pStyle w:val="3"/>
        <w:snapToGrid/>
        <w:spacing w:before="200" w:beforeAutospacing="0" w:after="100" w:afterAutospacing="0" w:line="240" w:lineRule="auto"/>
        <w:ind w:left="0" w:leftChars="0" w:right="0" w:rightChars="0" w:firstLine="0" w:firstLineChars="0"/>
        <w:jc w:val="left"/>
        <w:outlineLvl w:val="1"/>
        <w:rPr>
          <w:rFonts w:ascii="楷体" w:eastAsia="楷体"/>
          <w:b w:val="0"/>
          <w:color w:val="auto"/>
          <w:sz w:val="32"/>
        </w:rPr>
      </w:pPr>
      <w:r>
        <w:rPr>
          <w:rFonts w:ascii="楷体" w:eastAsia="楷体"/>
          <w:b w:val="0"/>
          <w:color w:val="auto"/>
          <w:sz w:val="32"/>
        </w:rPr>
        <w:t>9.2 不足与未来展望</w:t>
      </w:r>
    </w:p>
    <w:p w14:paraId="49E77446">
      <w:p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客观说明作品的可优化空间，避免夸大其词，同时明确未来的优化方向：</w:t>
      </w:r>
    </w:p>
    <w:p w14:paraId="6A989EB3">
      <w:pPr>
        <w:snapToGrid/>
        <w:spacing w:beforeAutospacing="0" w:afterAutospacing="0" w:line="560" w:lineRule="exact"/>
        <w:ind w:left="0" w:leftChars="0" w:right="0" w:rightChars="0" w:firstLine="482" w:firstLineChars="0"/>
        <w:jc w:val="left"/>
        <w:rPr>
          <w:rFonts w:ascii="仿宋" w:eastAsia="仿宋"/>
          <w:sz w:val="24"/>
        </w:rPr>
      </w:pPr>
    </w:p>
    <w:p w14:paraId="363C2429">
      <w:p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1. 数据层面：未来将纳入更多中国人群专属开源医疗数据集，扩大样本规模，进一步提升模型的泛化能力；</w:t>
      </w:r>
    </w:p>
    <w:p w14:paraId="2BCA7FE8">
      <w:p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2. 模型层面：加入时序体检数据，构建动态风险预测模型，实现慢病风险的动态监测；优化大模型干预方案的个性化程度与合规性校验机制；</w:t>
      </w:r>
    </w:p>
    <w:p w14:paraId="12DF0654">
      <w:p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3. 平台层面：对接可穿戴设备，实现实时健康数据采集；拓展更多慢病种类，完善多病种早筛与健康管理体系；</w:t>
      </w:r>
    </w:p>
    <w:p w14:paraId="71CDBD00">
      <w:p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4. 落地层面：优化3节点集群的部署方案，进一步降低部署门槛，加快与基层医疗机构、体检机构的合作试点，推动作品的临床落地与规模化推广。</w:t>
      </w:r>
    </w:p>
    <w:p w14:paraId="46CCC62E">
      <w:pPr>
        <w:snapToGrid/>
        <w:spacing w:beforeAutospacing="0" w:afterAutospacing="0" w:line="560" w:lineRule="exact"/>
        <w:ind w:left="0" w:leftChars="0" w:right="0" w:rightChars="0" w:firstLine="482" w:firstLineChars="0"/>
        <w:jc w:val="left"/>
        <w:rPr>
          <w:rFonts w:ascii="仿宋" w:eastAsia="仿宋"/>
          <w:sz w:val="24"/>
        </w:rPr>
      </w:pPr>
    </w:p>
    <w:p w14:paraId="5773FB4B">
      <w:pPr>
        <w:rPr>
          <w:rFonts w:ascii="仿宋" w:eastAsia="仿宋"/>
          <w:sz w:val="24"/>
        </w:rPr>
      </w:pPr>
      <w:r>
        <w:rPr>
          <w:rFonts w:ascii="仿宋" w:eastAsia="仿宋"/>
          <w:sz w:val="24"/>
        </w:rPr>
        <w:br w:type="page"/>
      </w:r>
    </w:p>
    <w:p w14:paraId="27548EF6">
      <w:pPr>
        <w:pStyle w:val="3"/>
        <w:snapToGrid/>
        <w:spacing w:beforeAutospacing="0" w:afterAutospacing="0" w:line="560" w:lineRule="exact"/>
        <w:ind w:left="0" w:leftChars="0" w:right="0" w:rightChars="0" w:firstLine="482" w:firstLineChars="0"/>
        <w:jc w:val="left"/>
        <w:rPr>
          <w:rFonts w:ascii="仿宋" w:eastAsia="仿宋"/>
          <w:color w:val="auto"/>
          <w:sz w:val="24"/>
        </w:rPr>
      </w:pPr>
      <w:r>
        <w:rPr>
          <w:rFonts w:ascii="仿宋" w:eastAsia="仿宋"/>
          <w:color w:val="auto"/>
          <w:sz w:val="24"/>
        </w:rPr>
        <w:t>参考文献（必填，符合GB/T 7714-2024格式，不少于10篇）</w:t>
      </w:r>
    </w:p>
    <w:p w14:paraId="2F52D7CA">
      <w:p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【填写规范】按顺序编号，优先引用最新的权威期刊论文、临床指南、开源数据集说明文档、国家标准，格式示例：</w:t>
      </w:r>
    </w:p>
    <w:p w14:paraId="5F903A92">
      <w:pPr>
        <w:snapToGrid/>
        <w:spacing w:beforeAutospacing="0" w:afterAutospacing="0" w:line="560" w:lineRule="exact"/>
        <w:ind w:left="0" w:leftChars="0" w:right="0" w:rightChars="0" w:firstLine="482" w:firstLineChars="0"/>
        <w:jc w:val="left"/>
        <w:rPr>
          <w:rFonts w:ascii="仿宋" w:eastAsia="仿宋"/>
          <w:sz w:val="24"/>
        </w:rPr>
      </w:pPr>
    </w:p>
    <w:p w14:paraId="54E944C1">
      <w:p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[1] 中华医学会糖尿病学分会. 中国2型糖尿病防治指南(2024年版)[J]. 中华糖尿病杂志, 2024, 16(6): 481-568.</w:t>
      </w:r>
    </w:p>
    <w:p w14:paraId="0367D2F1">
      <w:pPr>
        <w:snapToGrid/>
        <w:spacing w:beforeAutospacing="0" w:afterAutospacing="0" w:line="560" w:lineRule="exact"/>
        <w:ind w:left="0" w:leftChars="0" w:right="0" w:rightChars="0" w:firstLine="482" w:firstLineChars="0"/>
        <w:jc w:val="left"/>
        <w:rPr>
          <w:rFonts w:ascii="仿宋" w:eastAsia="仿宋"/>
          <w:sz w:val="24"/>
        </w:rPr>
      </w:pPr>
    </w:p>
    <w:p w14:paraId="0627D023">
      <w:p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[2] 中华医学会神经病学分会, 中华医学会神经病学分会脑血管病学组. 中国缺血性脑卒中和短暂性脑缺血发作二级预防指南(2025)[J]. 中华神经科杂志, 2025, 58(1): 10-36.</w:t>
      </w:r>
    </w:p>
    <w:p w14:paraId="4D6C6BA5">
      <w:pPr>
        <w:snapToGrid/>
        <w:spacing w:beforeAutospacing="0" w:afterAutospacing="0" w:line="560" w:lineRule="exact"/>
        <w:ind w:left="0" w:leftChars="0" w:right="0" w:rightChars="0" w:firstLine="482" w:firstLineChars="0"/>
        <w:jc w:val="left"/>
        <w:rPr>
          <w:rFonts w:ascii="仿宋" w:eastAsia="仿宋"/>
          <w:sz w:val="24"/>
        </w:rPr>
      </w:pPr>
    </w:p>
    <w:p w14:paraId="5454E34C">
      <w:p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[3] 数据集发布机构. 数据集名称[EB/OL]. 数据集官方链接, 发布年份.</w:t>
      </w:r>
    </w:p>
    <w:p w14:paraId="75F18740">
      <w:pPr>
        <w:snapToGrid/>
        <w:spacing w:beforeAutospacing="0" w:afterAutospacing="0" w:line="560" w:lineRule="exact"/>
        <w:ind w:left="0" w:leftChars="0" w:right="0" w:rightChars="0" w:firstLine="482" w:firstLineChars="0"/>
        <w:jc w:val="left"/>
        <w:rPr>
          <w:rFonts w:ascii="仿宋" w:eastAsia="仿宋"/>
          <w:sz w:val="24"/>
        </w:rPr>
      </w:pPr>
    </w:p>
    <w:p w14:paraId="33DD563D">
      <w:p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[4] 作者. 论文题名[J]. 期刊名称, 年, 卷(期): 起止页码.</w:t>
      </w:r>
    </w:p>
    <w:p w14:paraId="62085A8B">
      <w:pPr>
        <w:snapToGrid/>
        <w:spacing w:beforeAutospacing="0" w:afterAutospacing="0" w:line="560" w:lineRule="exact"/>
        <w:ind w:left="0" w:leftChars="0" w:right="0" w:rightChars="0" w:firstLine="482" w:firstLineChars="0"/>
        <w:jc w:val="left"/>
        <w:rPr>
          <w:rFonts w:ascii="仿宋" w:eastAsia="仿宋"/>
          <w:sz w:val="24"/>
        </w:rPr>
      </w:pPr>
    </w:p>
    <w:p w14:paraId="4DF6180D">
      <w:pPr>
        <w:snapToGrid/>
        <w:spacing w:beforeAutospacing="0" w:afterAutospacing="0" w:line="560" w:lineRule="exact"/>
        <w:ind w:left="0" w:leftChars="0" w:right="0" w:rightChars="0" w:firstLine="482" w:firstLineChars="0"/>
        <w:jc w:val="left"/>
        <w:rPr>
          <w:rFonts w:ascii="仿宋" w:eastAsia="仿宋"/>
          <w:sz w:val="24"/>
        </w:rPr>
      </w:pPr>
      <w:r>
        <w:rPr>
          <w:rFonts w:ascii="仿宋" w:eastAsia="仿宋"/>
          <w:sz w:val="24"/>
        </w:rPr>
        <w:t>[5] 作者. 专著名称[M]. 版次. 出版地: 出版者, 出版年: 起止页码.</w:t>
      </w:r>
    </w:p>
    <w:p w14:paraId="4869A08A">
      <w:pPr>
        <w:snapToGrid/>
        <w:spacing w:beforeAutospacing="0" w:afterAutospacing="0" w:line="560" w:lineRule="exact"/>
        <w:ind w:left="0" w:leftChars="0" w:right="0" w:rightChars="0" w:firstLine="482" w:firstLineChars="0"/>
        <w:jc w:val="left"/>
        <w:rPr>
          <w:rFonts w:ascii="仿宋" w:eastAsia="仿宋"/>
          <w:sz w:val="24"/>
        </w:rPr>
      </w:pPr>
    </w:p>
    <w:p w14:paraId="74892089">
      <w:pPr>
        <w:pBdr>
          <w:bottom w:val="single" w:color="auto" w:sz="6" w:space="1"/>
        </w:pBdr>
        <w:snapToGrid/>
        <w:spacing w:beforeAutospacing="0" w:afterAutospacing="0" w:line="560" w:lineRule="exact"/>
        <w:ind w:left="0" w:leftChars="0" w:right="0" w:rightChars="0" w:firstLine="482" w:firstLineChars="0"/>
        <w:jc w:val="left"/>
        <w:rPr>
          <w:rFonts w:ascii="仿宋" w:eastAsia="仿宋"/>
          <w:sz w:val="24"/>
        </w:rPr>
      </w:pPr>
    </w:p>
    <w:p w14:paraId="606414B6">
      <w:pPr>
        <w:snapToGrid/>
        <w:spacing w:beforeAutospacing="0" w:afterAutospacing="0" w:line="560" w:lineRule="exact"/>
        <w:ind w:left="0" w:leftChars="0" w:right="0" w:rightChars="0" w:firstLine="482" w:firstLineChars="0"/>
        <w:jc w:val="left"/>
        <w:rPr>
          <w:rFonts w:ascii="仿宋" w:eastAsia="仿宋"/>
          <w:sz w:val="24"/>
        </w:rPr>
      </w:pPr>
    </w:p>
    <w:p w14:paraId="69E1D7E8">
      <w:pPr>
        <w:pStyle w:val="3"/>
        <w:spacing w:after="200"/>
        <w:jc w:val="left"/>
      </w:pPr>
      <w:r>
        <w:t>附录（必填，符合大赛最新合规要求，已适配豆包大模型使用场景）</w:t>
      </w:r>
    </w:p>
    <w:p w14:paraId="5D0B1D93">
      <w:pPr>
        <w:spacing w:after="100"/>
        <w:ind w:left="20"/>
        <w:jc w:val="left"/>
      </w:pPr>
      <w:r>
        <w:t xml:space="preserve">1. </w:t>
      </w:r>
      <w:r>
        <w:rPr>
          <w:b/>
          <w:bCs/>
        </w:rPr>
        <w:t>附录A 大模型使用详细声明（大赛强制要求，已适配豆包大模型）</w:t>
      </w:r>
    </w:p>
    <w:p w14:paraId="5C2650F1">
      <w:pPr>
        <w:spacing w:after="200"/>
      </w:pPr>
      <w:r>
        <w:t xml:space="preserve"> </w:t>
      </w:r>
    </w:p>
    <w:p w14:paraId="4C30DD31">
      <w:pPr>
        <w:spacing w:after="120"/>
        <w:jc w:val="left"/>
      </w:pPr>
      <w:r>
        <w:t>【填写规范】必须严格按照大赛要求，详细说明大模型的使用情况，示例如下：</w:t>
      </w:r>
    </w:p>
    <w:p w14:paraId="271F6C09">
      <w:pPr>
        <w:spacing w:after="200"/>
      </w:pPr>
      <w:r>
        <w:t xml:space="preserve"> </w:t>
      </w:r>
    </w:p>
    <w:p w14:paraId="65C07F42">
      <w:pPr>
        <w:pBdr>
          <w:left w:val="single" w:color="BFBFBF" w:sz="12" w:space="200"/>
        </w:pBdr>
        <w:spacing w:after="120"/>
        <w:ind w:left="300"/>
        <w:jc w:val="left"/>
      </w:pPr>
      <w:r>
        <w:t>本作品在个性化健康干预方案生成环节使用了豆包大模型，具体使用情况说明如下：</w:t>
      </w:r>
    </w:p>
    <w:p w14:paraId="7438790D">
      <w:pPr>
        <w:spacing w:after="200"/>
      </w:pPr>
      <w:r>
        <w:t xml:space="preserve"> </w:t>
      </w:r>
    </w:p>
    <w:p w14:paraId="05EF6208">
      <w:pPr>
        <w:pBdr>
          <w:left w:val="single" w:color="BFBFBF" w:sz="12" w:space="200"/>
        </w:pBdr>
        <w:spacing w:after="100"/>
        <w:ind w:left="320"/>
        <w:jc w:val="left"/>
      </w:pPr>
      <w:r>
        <w:t>1. 使用场景：仅用于个性化健康干预方案的文本生成与润色，不涉及模型训练、核心算法研发、疾病诊断等环节；</w:t>
      </w:r>
    </w:p>
    <w:p w14:paraId="50EE609C">
      <w:pPr>
        <w:spacing w:after="200"/>
      </w:pPr>
      <w:r>
        <w:t xml:space="preserve"> </w:t>
      </w:r>
    </w:p>
    <w:p w14:paraId="330C22A1">
      <w:pPr>
        <w:pBdr>
          <w:left w:val="single" w:color="BFBFBF" w:sz="12" w:space="200"/>
        </w:pBdr>
        <w:spacing w:after="100"/>
        <w:ind w:left="320"/>
        <w:jc w:val="left"/>
      </w:pPr>
      <w:r>
        <w:t>2. 具体使用方式：通过豆包大模型API接口调用，基于预设的Prompt模板与临床指南约束规则，结合用户的健康信息与风险结果，生成个性化的健康管理方案；</w:t>
      </w:r>
    </w:p>
    <w:p w14:paraId="0C9F43DB">
      <w:pPr>
        <w:spacing w:after="200"/>
      </w:pPr>
      <w:r>
        <w:t xml:space="preserve"> </w:t>
      </w:r>
    </w:p>
    <w:p w14:paraId="67E3C8E9">
      <w:pPr>
        <w:pBdr>
          <w:left w:val="single" w:color="BFBFBF" w:sz="12" w:space="200"/>
        </w:pBdr>
        <w:spacing w:after="100"/>
        <w:ind w:left="320"/>
        <w:jc w:val="left"/>
      </w:pPr>
      <w:r>
        <w:t>3. 输入与输出：输入为用户的非隐私健康信息、风险分级、核心危险因素、临床指南规则框架；输出为个性化饮食、运动、生活方式调整、随访建议，无任何医疗诊断、处方类内容；</w:t>
      </w:r>
    </w:p>
    <w:p w14:paraId="4F7BC40D">
      <w:pPr>
        <w:spacing w:after="200"/>
      </w:pPr>
      <w:r>
        <w:t xml:space="preserve"> </w:t>
      </w:r>
    </w:p>
    <w:p w14:paraId="2B27EF3A">
      <w:pPr>
        <w:pBdr>
          <w:left w:val="single" w:color="BFBFBF" w:sz="12" w:space="200"/>
        </w:pBdr>
        <w:spacing w:after="100"/>
        <w:ind w:left="320"/>
        <w:jc w:val="left"/>
      </w:pPr>
      <w:r>
        <w:t>4. 优化模块：通过大模型优化了传统干预方案的同质化问题，提升了方案的个性化程度、可读性与用户依从性；</w:t>
      </w:r>
    </w:p>
    <w:p w14:paraId="5385725C">
      <w:pPr>
        <w:spacing w:after="200"/>
      </w:pPr>
      <w:r>
        <w:t xml:space="preserve"> </w:t>
      </w:r>
    </w:p>
    <w:p w14:paraId="7A9B1737">
      <w:pPr>
        <w:pBdr>
          <w:left w:val="single" w:color="BFBFBF" w:sz="12" w:space="200"/>
        </w:pBdr>
        <w:spacing w:after="100"/>
        <w:ind w:left="320"/>
        <w:jc w:val="left"/>
      </w:pPr>
      <w:r>
        <w:t>5. 使用边界与审核机制：预设严格的Prompt约束与敏感词过滤，禁止生成违规医疗内容；所有生成内容均需经过指南合规性校验，仅作为健康管理参考，不构成医疗建议。</w:t>
      </w:r>
    </w:p>
    <w:p w14:paraId="3352E8AB">
      <w:pPr>
        <w:spacing w:after="200"/>
      </w:pPr>
      <w:r>
        <w:t xml:space="preserve"> </w:t>
      </w:r>
    </w:p>
    <w:p w14:paraId="5E1792B5">
      <w:pPr>
        <w:pBdr>
          <w:left w:val="single" w:color="BFBFBF" w:sz="12" w:space="200"/>
        </w:pBdr>
        <w:spacing w:after="120"/>
        <w:ind w:left="300"/>
        <w:jc w:val="left"/>
      </w:pPr>
      <w:r>
        <w:t>本作品未使用大模型生成核心算法、论文报告主体内容，所有核心技术与报告内容均为参赛团队原创完成。</w:t>
      </w:r>
    </w:p>
    <w:p w14:paraId="32627F18">
      <w:pPr>
        <w:spacing w:after="200"/>
      </w:pPr>
      <w:r>
        <w:t xml:space="preserve"> </w:t>
      </w:r>
    </w:p>
    <w:p w14:paraId="5D795638">
      <w:pPr>
        <w:spacing w:after="100"/>
        <w:ind w:left="20"/>
        <w:jc w:val="left"/>
      </w:pPr>
      <w:r>
        <w:t xml:space="preserve">1. </w:t>
      </w:r>
      <w:r>
        <w:rPr>
          <w:b/>
          <w:bCs/>
        </w:rPr>
        <w:t>附录B 平台核心功能完整界面截图</w:t>
      </w:r>
      <w:r>
        <w:t>（带编号题注，含风险预测、可解释性可视化、3类个性化服务界面）。</w:t>
      </w:r>
    </w:p>
    <w:p w14:paraId="30B6479A">
      <w:pPr>
        <w:spacing w:after="100"/>
        <w:ind w:left="20"/>
        <w:jc w:val="left"/>
      </w:pPr>
      <w:r>
        <w:t xml:space="preserve">2. </w:t>
      </w:r>
      <w:r>
        <w:rPr>
          <w:b/>
          <w:bCs/>
        </w:rPr>
        <w:t>附录C 模型训练超参数详情表</w:t>
      </w:r>
      <w:r>
        <w:t>。</w:t>
      </w:r>
    </w:p>
    <w:p w14:paraId="3637030F">
      <w:pPr>
        <w:spacing w:after="100"/>
        <w:ind w:left="20"/>
        <w:jc w:val="left"/>
      </w:pPr>
      <w:r>
        <w:t xml:space="preserve">3. </w:t>
      </w:r>
      <w:r>
        <w:rPr>
          <w:b/>
          <w:bCs/>
        </w:rPr>
        <w:t>附录D 开源数据集官方授权协议截图/链接</w:t>
      </w:r>
      <w:r>
        <w:t>（证明数据合规性）。</w:t>
      </w:r>
    </w:p>
    <w:p w14:paraId="15FDADCF">
      <w:pPr>
        <w:spacing w:after="100"/>
        <w:ind w:left="20"/>
        <w:jc w:val="left"/>
      </w:pPr>
      <w:r>
        <w:t xml:space="preserve">4. </w:t>
      </w:r>
      <w:r>
        <w:rPr>
          <w:b/>
          <w:bCs/>
        </w:rPr>
        <w:t>附录E 作品演示视频二维码/链接</w:t>
      </w:r>
      <w:r>
        <w:t>（按大赛要求提供）。</w:t>
      </w:r>
    </w:p>
    <w:sectPr>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 w:name="仿宋">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suff w:val="space"/>
      <w:lvlText w:val="●"/>
      <w:lvlJc w:val="left"/>
      <w:pPr>
        <w:ind w:left="240" w:hanging="180"/>
      </w:pPr>
    </w:lvl>
    <w:lvl w:ilvl="1" w:tentative="0">
      <w:start w:val="1"/>
      <w:numFmt w:val="bullet"/>
      <w:suff w:val="space"/>
      <w:lvlText w:val="○"/>
      <w:lvlJc w:val="left"/>
      <w:pPr>
        <w:ind w:left="660" w:hanging="180"/>
      </w:pPr>
    </w:lvl>
    <w:lvl w:ilvl="2" w:tentative="0">
      <w:start w:val="1"/>
      <w:numFmt w:val="bullet"/>
      <w:suff w:val="space"/>
      <w:lvlText w:val="■"/>
      <w:lvlJc w:val="left"/>
      <w:pPr>
        <w:ind w:left="1080" w:hanging="180"/>
      </w:pPr>
    </w:lvl>
    <w:lvl w:ilvl="3" w:tentative="0">
      <w:start w:val="1"/>
      <w:numFmt w:val="bullet"/>
      <w:suff w:val="space"/>
      <w:lvlText w:val="●"/>
      <w:lvlJc w:val="left"/>
      <w:pPr>
        <w:ind w:left="1500" w:hanging="180"/>
      </w:pPr>
    </w:lvl>
    <w:lvl w:ilvl="4" w:tentative="0">
      <w:start w:val="1"/>
      <w:numFmt w:val="bullet"/>
      <w:suff w:val="space"/>
      <w:lvlText w:val="○"/>
      <w:lvlJc w:val="left"/>
      <w:pPr>
        <w:ind w:left="1920" w:hanging="180"/>
      </w:pPr>
    </w:lvl>
    <w:lvl w:ilvl="5" w:tentative="0">
      <w:start w:val="1"/>
      <w:numFmt w:val="bullet"/>
      <w:suff w:val="space"/>
      <w:lvlText w:val="■"/>
      <w:lvlJc w:val="left"/>
      <w:pPr>
        <w:ind w:left="2340" w:hanging="180"/>
      </w:pPr>
    </w:lvl>
    <w:lvl w:ilvl="6" w:tentative="0">
      <w:start w:val="1"/>
      <w:numFmt w:val="bullet"/>
      <w:suff w:val="space"/>
      <w:lvlText w:val="●"/>
      <w:lvlJc w:val="left"/>
      <w:pPr>
        <w:ind w:left="2760" w:hanging="180"/>
      </w:pPr>
    </w:lvl>
    <w:lvl w:ilvl="7" w:tentative="0">
      <w:start w:val="1"/>
      <w:numFmt w:val="bullet"/>
      <w:suff w:val="space"/>
      <w:lvlText w:val="○"/>
      <w:lvlJc w:val="left"/>
      <w:pPr>
        <w:ind w:left="3180" w:hanging="180"/>
      </w:pPr>
    </w:lvl>
    <w:lvl w:ilvl="8" w:tentative="0">
      <w:start w:val="1"/>
      <w:numFmt w:val="bullet"/>
      <w:suff w:val="space"/>
      <w:lvlText w:val="■"/>
      <w:lvlJc w:val="left"/>
      <w:pPr>
        <w:ind w:left="3600" w:hanging="18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3"/>
  <w:displayBackgroundShape w:val="1"/>
  <w:documentProtection w:enforcement="0"/>
  <w:compat>
    <w:useFELayout/>
    <w:compatSetting w:name="compatibilityMode" w:uri="http://schemas.microsoft.com/office/word" w:val="15"/>
  </w:compat>
  <w:rsids>
    <w:rsidRoot w:val="00000000"/>
    <w:rsid w:val="00937981"/>
    <w:rsid w:val="25E27DE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4"/>
      <w:szCs w:val="24"/>
    </w:rPr>
  </w:style>
  <w:style w:type="paragraph" w:styleId="2">
    <w:name w:val="heading 1"/>
    <w:next w:val="1"/>
    <w:qFormat/>
    <w:uiPriority w:val="0"/>
    <w:pPr>
      <w:jc w:val="left"/>
    </w:pPr>
    <w:rPr>
      <w:b/>
      <w:bCs/>
      <w:color w:val="000000"/>
      <w:sz w:val="40"/>
      <w:szCs w:val="40"/>
    </w:rPr>
  </w:style>
  <w:style w:type="paragraph" w:styleId="3">
    <w:name w:val="heading 2"/>
    <w:next w:val="1"/>
    <w:qFormat/>
    <w:uiPriority w:val="0"/>
    <w:pPr>
      <w:jc w:val="left"/>
    </w:pPr>
    <w:rPr>
      <w:b/>
      <w:bCs/>
      <w:color w:val="000000"/>
      <w:sz w:val="36"/>
      <w:szCs w:val="36"/>
    </w:rPr>
  </w:style>
  <w:style w:type="paragraph" w:styleId="4">
    <w:name w:val="heading 3"/>
    <w:next w:val="1"/>
    <w:qFormat/>
    <w:uiPriority w:val="0"/>
    <w:pPr>
      <w:jc w:val="left"/>
    </w:pPr>
    <w:rPr>
      <w:b/>
      <w:bCs/>
      <w:color w:val="000000"/>
      <w:sz w:val="32"/>
      <w:szCs w:val="32"/>
    </w:rPr>
  </w:style>
  <w:style w:type="paragraph" w:styleId="5">
    <w:name w:val="heading 4"/>
    <w:next w:val="1"/>
    <w:qFormat/>
    <w:uiPriority w:val="0"/>
    <w:pPr>
      <w:jc w:val="left"/>
    </w:pPr>
    <w:rPr>
      <w:b/>
      <w:bCs/>
      <w:color w:val="000000"/>
      <w:sz w:val="28"/>
      <w:szCs w:val="28"/>
    </w:rPr>
  </w:style>
  <w:style w:type="paragraph" w:styleId="6">
    <w:name w:val="heading 5"/>
    <w:next w:val="1"/>
    <w:qFormat/>
    <w:uiPriority w:val="0"/>
    <w:pPr>
      <w:jc w:val="left"/>
    </w:pPr>
    <w:rPr>
      <w:b/>
      <w:bCs/>
      <w:color w:val="000000"/>
      <w:sz w:val="24"/>
      <w:szCs w:val="24"/>
    </w:rPr>
  </w:style>
  <w:style w:type="paragraph" w:styleId="7">
    <w:name w:val="heading 6"/>
    <w:next w:val="1"/>
    <w:qFormat/>
    <w:uiPriority w:val="0"/>
    <w:pPr>
      <w:jc w:val="left"/>
    </w:pPr>
    <w:rPr>
      <w:b/>
      <w:bCs/>
      <w:color w:val="000000"/>
      <w:sz w:val="20"/>
      <w:szCs w:val="20"/>
    </w:rPr>
  </w:style>
  <w:style w:type="character" w:default="1" w:styleId="11">
    <w:name w:val="Default Paragraph Font"/>
    <w:semiHidden/>
    <w:uiPriority w:val="0"/>
  </w:style>
  <w:style w:type="table" w:default="1" w:styleId="10">
    <w:name w:val="Normal Table"/>
    <w:semiHidden/>
    <w:uiPriority w:val="0"/>
    <w:tblPr>
      <w:tblCellMar>
        <w:top w:w="0" w:type="dxa"/>
        <w:left w:w="108" w:type="dxa"/>
        <w:bottom w:w="0" w:type="dxa"/>
        <w:right w:w="108" w:type="dxa"/>
      </w:tblCellMar>
    </w:tblPr>
  </w:style>
  <w:style w:type="paragraph" w:styleId="8">
    <w:name w:val="footnote text"/>
    <w:link w:val="15"/>
    <w:semiHidden/>
    <w:unhideWhenUsed/>
    <w:qFormat/>
    <w:uiPriority w:val="99"/>
    <w:pPr>
      <w:spacing w:after="0" w:line="240" w:lineRule="auto"/>
      <w:jc w:val="left"/>
    </w:pPr>
    <w:rPr>
      <w:sz w:val="20"/>
      <w:szCs w:val="20"/>
    </w:rPr>
  </w:style>
  <w:style w:type="paragraph" w:styleId="9">
    <w:name w:val="Title"/>
    <w:qFormat/>
    <w:uiPriority w:val="0"/>
    <w:pPr>
      <w:jc w:val="left"/>
    </w:pPr>
    <w:rPr>
      <w:sz w:val="56"/>
      <w:szCs w:val="56"/>
    </w:rPr>
  </w:style>
  <w:style w:type="character" w:styleId="12">
    <w:name w:val="Hyperlink"/>
    <w:unhideWhenUsed/>
    <w:qFormat/>
    <w:uiPriority w:val="99"/>
    <w:rPr>
      <w:color w:val="0563C1"/>
      <w:u w:val="single"/>
    </w:rPr>
  </w:style>
  <w:style w:type="character" w:styleId="13">
    <w:name w:val="footnote reference"/>
    <w:semiHidden/>
    <w:unhideWhenUsed/>
    <w:qFormat/>
    <w:uiPriority w:val="99"/>
    <w:rPr>
      <w:vertAlign w:val="superscript"/>
    </w:rPr>
  </w:style>
  <w:style w:type="paragraph" w:styleId="14">
    <w:name w:val="List Paragraph"/>
    <w:qFormat/>
    <w:uiPriority w:val="0"/>
    <w:pPr>
      <w:jc w:val="left"/>
    </w:pPr>
    <w:rPr>
      <w:sz w:val="24"/>
      <w:szCs w:val="24"/>
    </w:rPr>
  </w:style>
  <w:style w:type="character" w:customStyle="1" w:styleId="15">
    <w:name w:val="Footnote Text Char"/>
    <w:link w:val="8"/>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32</Pages>
  <Words>12581</Words>
  <Characters>13498</Characters>
  <TotalTime>5</TotalTime>
  <ScaleCrop>false</ScaleCrop>
  <LinksUpToDate>false</LinksUpToDate>
  <CharactersWithSpaces>13844</CharactersWithSpaces>
  <Application>WPS Office_12.1.0.25225_F1E327BC-269C-435d-A152-05C5408002CA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2026-04-09T08:49:00Z</dcterms:created>
  <dc:creator>Un-named</dc:creator>
  <cp:lastModifiedBy>帝尘</cp:lastModifiedBy>
  <dcterms:modified xsi:type="dcterms:W3CDTF">2026-04-09T08:57:01Z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eyJoZGlkIjoiYjFmZDI4ZmFmZjYzYzRjMWZlNGE5NzgxZWU3NWE0YzgiLCJ1c2VySWQiOiIxMTI4OTk0MTU4In0=</vt:lpwstr>
  </property>
  <property fmtid="{D5CDD505-2E9C-101B-9397-08002B2CF9AE}" pid="3" name="KSOProductBuildVer">
    <vt:lpwstr>2052-12.1.0.25225</vt:lpwstr>
  </property>
  <property fmtid="{D5CDD505-2E9C-101B-9397-08002B2CF9AE}" pid="4" name="ICV">
    <vt:lpwstr>66285E2BF89A4AC9919E78609C849100_13</vt:lpwstr>
  </property>
</Properties>
</file>