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企业信息录入列表页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需求说明：列表页展示字段，新增四个字段，分别为：法人姓名、预留联系人、联系人手机号；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修改前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1383665"/>
            <wp:effectExtent l="0" t="0" r="952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修改后排列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9230" cy="223520"/>
            <wp:effectExtent l="0" t="0" r="7620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企业信息录入页-删除【贷后管理】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需求说明：企业信息录入-删除【贷后管理录入】模块，删除后模块样式按“修改后”模块样式调整居中；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修改前</w:t>
      </w:r>
      <w:r>
        <w:rPr>
          <w:rFonts w:hint="eastAsia"/>
          <w:sz w:val="28"/>
          <w:szCs w:val="28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369570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修改后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382270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企业信息录入列表页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需求说明：1.首页列表操作添加【贷后管理】按钮入口；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贷后管理添加【新增】功能页面入口；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贷后管理新增记录可编辑；</w:t>
      </w:r>
    </w:p>
    <w:p>
      <w:pPr>
        <w:numPr>
          <w:ilvl w:val="0"/>
          <w:numId w:val="3"/>
        </w:num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新增和编辑操作生效时间为次日。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6690" cy="219075"/>
            <wp:effectExtent l="0" t="0" r="10160" b="952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贷后管理页面内容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需求说明：在原页面基础上添加</w:t>
      </w: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</w:rPr>
        <w:t>功能，列表添加月份字段，操作上添加编辑入口；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1135" cy="640715"/>
            <wp:effectExtent l="0" t="0" r="5715" b="698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新增页面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数据格式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1.披露月份：时间控件格式，只能选择年、月；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2.资金运营情况、经营状况及财务状况、还款能力变化情况，下拉框选择（正常/异常），默认值正常；当选择异常后，对应右边文本框才可见进行编辑，文字最多400字；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3.逾期状况、诉讼状况、行政处罚情况、其他，下拉框选择（无/有），默认值无；当选择有后，对应右边文本框才可见进行编辑，文字最多400字；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4971415" cy="3666490"/>
            <wp:effectExtent l="0" t="0" r="635" b="1016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编辑页面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需求说明：取选中贷后管理内容，用于编辑；</w:t>
      </w:r>
    </w:p>
    <w:p>
      <w:r>
        <w:drawing>
          <wp:inline distT="0" distB="0" distL="114300" distR="114300">
            <wp:extent cx="4523740" cy="3704590"/>
            <wp:effectExtent l="0" t="0" r="10160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企业信息录入-审核页面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需求说明：</w:t>
      </w: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企业信息审核页面，将贷后管理模块内容删除。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         2.</w:t>
      </w:r>
      <w:r>
        <w:rPr>
          <w:rFonts w:hint="eastAsia"/>
          <w:sz w:val="28"/>
          <w:szCs w:val="28"/>
        </w:rPr>
        <w:t>支持查看脱敏信息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ind w:firstLine="1400" w:firstLineChars="50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>在明细页面增加审核功能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2562860"/>
            <wp:effectExtent l="0" t="0" r="8255" b="889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脱敏内容（对应元素下方增加行）及格式：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机构名称：前4位脱敏，后面保留；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法人姓名：保留第一位，后面脱敏；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证件号：前3位，后4位，中间脱敏；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法人证件号：前3位，后4位，中间脱敏；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联系人手机号：前3位，后4位，中间脱敏；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预留联系人：保留第一位，后面脱敏；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注册地址：留前10位，后面脱敏；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经营地址：留前10位，后面脱敏；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审核功能：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说明：企业信息审核通过后，才可发起借款申请；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审核通过：企业可发起借款申请；</w:t>
      </w:r>
    </w:p>
    <w:p>
      <w:r>
        <w:drawing>
          <wp:inline distT="0" distB="0" distL="114300" distR="114300">
            <wp:extent cx="3466465" cy="1028700"/>
            <wp:effectExtent l="0" t="0" r="63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用户点击确认，该企业通过申请；取消为关闭弹层，不做处理；</w:t>
      </w:r>
    </w:p>
    <w:p>
      <w:p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驳回：业务员可对企业内容再次编辑后提交申请；（评审时综合考虑）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3466465" cy="1133475"/>
            <wp:effectExtent l="0" t="0" r="63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用户点击确认后，业务员可在企业申请录入，在操作中查看驳回详情（该功能要开发）；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拒绝：企业信息不可再编辑；</w:t>
      </w:r>
    </w:p>
    <w:p>
      <w:r>
        <w:drawing>
          <wp:inline distT="0" distB="0" distL="114300" distR="114300">
            <wp:extent cx="3418840" cy="1076325"/>
            <wp:effectExtent l="0" t="0" r="10160" b="952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用户点击确认，该企业申请被拒绝；取消为关闭弹层，不做处理；</w:t>
      </w:r>
    </w:p>
    <w:p>
      <w:r>
        <w:drawing>
          <wp:inline distT="0" distB="0" distL="114300" distR="114300">
            <wp:extent cx="5266055" cy="2588260"/>
            <wp:effectExtent l="0" t="0" r="10795" b="254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2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机构账户管理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需求说明：1.在原列表页，添加字段，机构类型、机构账户余额；</w:t>
      </w:r>
    </w:p>
    <w:p>
      <w:pPr>
        <w:ind w:firstLine="1400" w:firstLineChars="500"/>
        <w:rPr>
          <w:sz w:val="28"/>
          <w:szCs w:val="28"/>
        </w:rPr>
      </w:pPr>
      <w:r>
        <w:rPr>
          <w:rFonts w:hint="eastAsia"/>
          <w:sz w:val="28"/>
          <w:szCs w:val="28"/>
        </w:rPr>
        <w:t>2.添加新增机构账户入口页面操作；</w:t>
      </w:r>
    </w:p>
    <w:p>
      <w:pPr>
        <w:ind w:left="1400"/>
        <w:rPr>
          <w:sz w:val="28"/>
          <w:szCs w:val="28"/>
        </w:rPr>
      </w:pPr>
      <w:r>
        <w:rPr>
          <w:rFonts w:hint="eastAsia"/>
          <w:sz w:val="28"/>
          <w:szCs w:val="28"/>
        </w:rPr>
        <w:t>3.可对机构账户进行编辑；</w:t>
      </w:r>
    </w:p>
    <w:p>
      <w:pPr>
        <w:ind w:left="1400"/>
        <w:rPr>
          <w:sz w:val="28"/>
          <w:szCs w:val="28"/>
        </w:rPr>
      </w:pPr>
      <w:r>
        <w:rPr>
          <w:rFonts w:hint="eastAsia"/>
          <w:sz w:val="28"/>
          <w:szCs w:val="28"/>
        </w:rPr>
        <w:t>4.原操作功能，对公网银与补账功能合并一个页面操作；</w:t>
      </w:r>
    </w:p>
    <w:p>
      <w:pPr>
        <w:ind w:left="1400"/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列表页-旧排版</w:t>
      </w:r>
    </w:p>
    <w:p>
      <w:r>
        <w:drawing>
          <wp:inline distT="0" distB="0" distL="114300" distR="114300">
            <wp:extent cx="5271135" cy="746125"/>
            <wp:effectExtent l="0" t="0" r="571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列表页-新排版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554355"/>
            <wp:effectExtent l="0" t="0" r="7620" b="171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详情页-修改前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2791460"/>
            <wp:effectExtent l="0" t="0" r="7620" b="889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详情页-修改后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需求说明：一个机构账户同时只可，有一张银行账户，故对原银行账户列表内容，拆分出与上面内容并列；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934335"/>
            <wp:effectExtent l="0" t="0" r="3810" b="1841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新增页面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需求说明：机构会员ID、会员类型、注册渠道、机构会员代码，为系统自动生成，用户不可填写和编辑；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90490" cy="2324100"/>
            <wp:effectExtent l="0" t="0" r="1016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编辑页面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需求说明：取选中机构账户内容，用于编辑；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289175"/>
            <wp:effectExtent l="0" t="0" r="3810" b="1587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充值页面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需求说明：1.对公网银与补账功能合并一个充值页面操作，点击提交后API接口上向宝付发送请求及本地数据库，同时插入；</w:t>
      </w:r>
    </w:p>
    <w:p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交易类型选择入金，下方金额字段为充值金额；类型选择出金，下方金额为提现金额；</w:t>
      </w:r>
    </w:p>
    <w:p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点击提交，弹窗提示，确认按钮提交数据库，取消按钮为关闭提示窗，返回充值页；提示内容为机构名称+交易类型+金额；</w:t>
      </w:r>
    </w:p>
    <w:p>
      <w:pPr>
        <w:ind w:left="1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图1、图2提示内容：上海XXX租赁公司，入金：100，000,0元，确认提交？</w:t>
      </w:r>
    </w:p>
    <w:p>
      <w:pPr>
        <w:ind w:left="1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图3提示内容：上海XXX租赁公司，出金：50,000,0元，确认提交？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0500" cy="1705610"/>
            <wp:effectExtent l="0" t="0" r="6350" b="889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</w:t>
      </w:r>
      <w:r>
        <w:rPr>
          <w:rFonts w:hint="eastAsia"/>
          <w:sz w:val="28"/>
          <w:szCs w:val="28"/>
          <w:lang w:val="en-US" w:eastAsia="zh-CN"/>
        </w:rPr>
        <w:t>为了做账户用途和交易类型展示，平铺了3个页面，实际开发时为一个页面）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6、机构账户交易明细：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需求说明：在机构账户交易记录查询中，添加对公代付、还款转账的交易类型，可以对其进行查询；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对公代付：机构实体户从宝付虚拟户进行提现；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还款转账：线下机构账户转账到还款管理人账户，还款管理账户充值到宝付机构账户虚拟户；</w:t>
      </w:r>
    </w:p>
    <w:p>
      <w:r>
        <w:drawing>
          <wp:inline distT="0" distB="0" distL="114300" distR="114300">
            <wp:extent cx="5269865" cy="32702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7、机构账户&gt;增加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手续费账户类型</w:t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需求说明：增加的手续费账户为虚户，在企业进行还款时，兑付出借利息以外的手续费金额，进入此虚户；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机构名称：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资鼎（上海）互联网金融信息服务有限公司；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机构类型：手续费账户；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因为是资鼎虚拟账户，机构证件类型、机构证件号码，法人相关信息及联系人手机号为“无”；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列表页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6217920" cy="967740"/>
            <wp:effectExtent l="0" t="0" r="1143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详情页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交易类型：手续费入金（宝付没真实手续费账户，所有没出金操作）；交易时间：默认显示30天，按交易时间降序；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手续费入金：每次还款交易兑付利息，以外借款手续费金额；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972310"/>
            <wp:effectExtent l="0" t="0" r="5080" b="88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20" w:firstLineChars="400"/>
        <w:rPr>
          <w:rFonts w:hint="eastAsia"/>
          <w:sz w:val="28"/>
          <w:szCs w:val="28"/>
          <w:lang w:val="en-US" w:eastAsia="zh-CN"/>
        </w:rPr>
      </w:pPr>
    </w:p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0"/>
        </w:numPr>
        <w:outlineLvl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8、企业信息录入</w:t>
      </w:r>
    </w:p>
    <w:p>
      <w:r>
        <w:rPr>
          <w:rFonts w:hint="eastAsia"/>
        </w:rPr>
        <w:t xml:space="preserve"> 需求说明：在企业信息录入时，填写左边输入框的内容时，当右边脱敏信息文本框为空时，将左边的内容自动带入到右边的输入框</w:t>
      </w:r>
    </w:p>
    <w:p/>
    <w:p>
      <w:r>
        <w:drawing>
          <wp:inline distT="0" distB="0" distL="114300" distR="114300">
            <wp:extent cx="6059170" cy="1883410"/>
            <wp:effectExtent l="0" t="0" r="177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9、</w:t>
      </w:r>
      <w:r>
        <w:rPr>
          <w:rFonts w:hint="eastAsia"/>
          <w:sz w:val="28"/>
          <w:szCs w:val="28"/>
        </w:rPr>
        <w:t>还款管理</w:t>
      </w:r>
    </w:p>
    <w:p/>
    <w:p>
      <w:r>
        <w:rPr>
          <w:rFonts w:hint="eastAsia"/>
        </w:rPr>
        <w:t xml:space="preserve">    需求说明：1、增加查询功能，融资方名称输入时带自动检索功能；2、在列表表格中修改结息日字段为还款日</w:t>
      </w:r>
      <w:r>
        <w:rPr>
          <w:rFonts w:hint="eastAsia"/>
          <w:lang w:val="en-US" w:eastAsia="zh-CN"/>
        </w:rPr>
        <w:t>期</w:t>
      </w:r>
      <w:r>
        <w:rPr>
          <w:rFonts w:hint="eastAsia"/>
        </w:rPr>
        <w:t>，移除回款日字段</w:t>
      </w:r>
      <w:r>
        <w:rPr>
          <w:rFonts w:hint="eastAsia"/>
          <w:lang w:eastAsia="zh-CN"/>
        </w:rPr>
        <w:t>，</w:t>
      </w:r>
      <w:r>
        <w:rPr>
          <w:rFonts w:hint="eastAsia"/>
        </w:rPr>
        <w:t>增加联系人电话、逾期天数字段；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、增加“逾期已还款”债权状态。债权状态若为超时（逾期），可以进行已还款操作，操作成功后债权状态变更为“逾期已还款”</w:t>
      </w:r>
    </w:p>
    <w:p/>
    <w:p>
      <w:r>
        <w:drawing>
          <wp:inline distT="0" distB="0" distL="114300" distR="114300">
            <wp:extent cx="5266055" cy="1857375"/>
            <wp:effectExtent l="0" t="0" r="1079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逾期天数计算规则：</w:t>
      </w:r>
    </w:p>
    <w:p>
      <w:pPr>
        <w:pStyle w:val="6"/>
        <w:numPr>
          <w:ilvl w:val="0"/>
          <w:numId w:val="5"/>
        </w:numPr>
        <w:ind w:firstLine="420" w:firstLineChars="0"/>
      </w:pPr>
      <w:r>
        <w:rPr>
          <w:rFonts w:hint="eastAsia"/>
        </w:rPr>
        <w:t>状态为超时(逾期)</w:t>
      </w:r>
    </w:p>
    <w:p>
      <w:pPr>
        <w:ind w:left="42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当用户逾期还款后，更新记录状态为“逾期已还款”，并记录逾期天数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保存记录</w:t>
      </w:r>
    </w:p>
    <w:p/>
    <w:p/>
    <w:p/>
    <w:p/>
    <w:p/>
    <w:p/>
    <w:p/>
    <w:p/>
    <w:p/>
    <w:p>
      <w:pPr>
        <w:ind w:firstLine="280" w:firstLineChars="100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10、</w:t>
      </w:r>
      <w:r>
        <w:rPr>
          <w:rFonts w:hint="eastAsia"/>
          <w:sz w:val="28"/>
          <w:szCs w:val="28"/>
        </w:rPr>
        <w:t>借款申请录入</w:t>
      </w:r>
    </w:p>
    <w:p/>
    <w:p>
      <w:pPr>
        <w:ind w:firstLine="420" w:firstLineChars="200"/>
        <w:rPr>
          <w:rFonts w:hint="eastAsia"/>
        </w:rPr>
      </w:pPr>
      <w:r>
        <w:rPr>
          <w:rFonts w:hint="eastAsia"/>
        </w:rPr>
        <w:t>需求说明： 1、在借款申请录入的页面增加查询功能，点击新增，进入之前借款申请录入页面；2、增加列表表格，在列表中只显示通过和驳回两种申请状态的借款申请，其操作与之前一致。3、操作：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、详情、审核记录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 w:eastAsiaTheme="minorEastAsia"/>
          <w:lang w:val="en-US" w:eastAsia="zh-CN"/>
        </w:rPr>
      </w:pPr>
    </w:p>
    <w:p/>
    <w:p>
      <w:r>
        <w:drawing>
          <wp:inline distT="0" distB="0" distL="114300" distR="114300">
            <wp:extent cx="5264785" cy="1908175"/>
            <wp:effectExtent l="0" t="0" r="1206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 借款申请录入：在页面增加两个按钮，提交为提交借款申请，保存为缓存本次录入的借款信息，下次新增时显示缓存的借款信息（无借款信息是不可进行保持），多次保存以最后一次操作为准。</w:t>
      </w:r>
    </w:p>
    <w:p/>
    <w:p/>
    <w:p>
      <w:r>
        <w:drawing>
          <wp:inline distT="0" distB="0" distL="114300" distR="114300">
            <wp:extent cx="5264150" cy="2694940"/>
            <wp:effectExtent l="0" t="0" r="1270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80" w:firstLineChars="100"/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>、借款审批</w:t>
      </w:r>
    </w:p>
    <w:p>
      <w:r>
        <w:rPr>
          <w:rFonts w:hint="eastAsia"/>
        </w:rPr>
        <w:t xml:space="preserve">     </w:t>
      </w:r>
    </w:p>
    <w:p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需求说明：1、查询功能中去掉借款申请状态的选项；2、列表使用表格显示，列表中的借款申请只有审核状态的借款申请（提交一审、提交二审）。</w:t>
      </w:r>
    </w:p>
    <w:p/>
    <w:p/>
    <w:p>
      <w:r>
        <w:drawing>
          <wp:inline distT="0" distB="0" distL="114300" distR="114300">
            <wp:extent cx="5266055" cy="2001520"/>
            <wp:effectExtent l="0" t="0" r="1079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审核详情：在详情的项目信息中加入手续费字段，增加审核功能按钮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4310" cy="2438400"/>
            <wp:effectExtent l="0" t="0" r="254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/>
    <w:p/>
    <w:p/>
    <w:p/>
    <w:p/>
    <w:p/>
    <w:p/>
    <w:p/>
    <w:p/>
    <w:p/>
    <w:p/>
    <w:p/>
    <w:p>
      <w:pPr>
        <w:outlineLvl w:val="0"/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、借款订单列表</w:t>
      </w:r>
    </w:p>
    <w:p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  需求说明： 1、编号字段名改为借款订单，项目编号字段名改为借款项目编号，匹配金额修改为已匹配金额；2、在操作中增加详情按钮，详情跳转的页面与借款审批中详情跳转的页面一致；3、列表使用表格显示。</w:t>
      </w:r>
    </w:p>
    <w:p/>
    <w:p>
      <w:r>
        <w:drawing>
          <wp:inline distT="0" distB="0" distL="114300" distR="114300">
            <wp:extent cx="5263515" cy="2279015"/>
            <wp:effectExtent l="0" t="0" r="1333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13、</w:t>
      </w:r>
      <w:r>
        <w:rPr>
          <w:rFonts w:hint="eastAsia"/>
          <w:sz w:val="28"/>
          <w:szCs w:val="28"/>
        </w:rPr>
        <w:t>放款查询</w:t>
      </w:r>
    </w:p>
    <w:p>
      <w:pPr>
        <w:ind w:firstLine="560"/>
        <w:rPr>
          <w:szCs w:val="21"/>
        </w:rPr>
      </w:pPr>
      <w:r>
        <w:rPr>
          <w:rFonts w:hint="eastAsia"/>
          <w:szCs w:val="21"/>
        </w:rPr>
        <w:t>需求说明：1、在借款订单列表下增加放款查询功能页；2、企业名称输入时，带自动检索功能，放款状态有三种：失败、放款中、成功 ；3列表的排列顺序先按照放款状态（失败、放款中、成功）来排布，每种状态按照放款时间来排序；4、列表使用表格显示</w:t>
      </w:r>
      <w:r>
        <w:rPr>
          <w:rFonts w:hint="eastAsia"/>
          <w:szCs w:val="21"/>
          <w:lang w:eastAsia="zh-CN"/>
        </w:rPr>
        <w:t>；</w:t>
      </w:r>
      <w:r>
        <w:rPr>
          <w:rFonts w:hint="eastAsia"/>
          <w:szCs w:val="21"/>
          <w:lang w:val="en-US" w:eastAsia="zh-CN"/>
        </w:rPr>
        <w:t>5、操作：放款重试，</w:t>
      </w:r>
      <w:r>
        <w:rPr>
          <w:rFonts w:hint="eastAsia"/>
          <w:szCs w:val="21"/>
        </w:rPr>
        <w:t>放款失败，支持重新发起放款</w:t>
      </w:r>
    </w:p>
    <w:p>
      <w:r>
        <w:drawing>
          <wp:inline distT="0" distB="0" distL="114300" distR="114300">
            <wp:extent cx="5271770" cy="1658620"/>
            <wp:effectExtent l="0" t="0" r="508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D04E0B"/>
    <w:multiLevelType w:val="multilevel"/>
    <w:tmpl w:val="55D04E0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A740AB4"/>
    <w:multiLevelType w:val="singleLevel"/>
    <w:tmpl w:val="5A740AB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A77B92B"/>
    <w:multiLevelType w:val="singleLevel"/>
    <w:tmpl w:val="5A77B9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77CE39"/>
    <w:multiLevelType w:val="singleLevel"/>
    <w:tmpl w:val="5A77CE39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400" w:firstLine="0"/>
      </w:pPr>
    </w:lvl>
  </w:abstractNum>
  <w:abstractNum w:abstractNumId="4">
    <w:nsid w:val="5A7A5BDB"/>
    <w:multiLevelType w:val="singleLevel"/>
    <w:tmpl w:val="5A7A5BD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AE"/>
    <w:rsid w:val="00001ACA"/>
    <w:rsid w:val="003C4B27"/>
    <w:rsid w:val="00464775"/>
    <w:rsid w:val="00550626"/>
    <w:rsid w:val="0072316C"/>
    <w:rsid w:val="007B2498"/>
    <w:rsid w:val="00B93FA5"/>
    <w:rsid w:val="00E11EAE"/>
    <w:rsid w:val="00E2097A"/>
    <w:rsid w:val="00EF2796"/>
    <w:rsid w:val="01233F6C"/>
    <w:rsid w:val="0384328C"/>
    <w:rsid w:val="03A60993"/>
    <w:rsid w:val="03D64210"/>
    <w:rsid w:val="03FD584B"/>
    <w:rsid w:val="042D7DC6"/>
    <w:rsid w:val="047527E4"/>
    <w:rsid w:val="04FA62BA"/>
    <w:rsid w:val="05397723"/>
    <w:rsid w:val="05594C4A"/>
    <w:rsid w:val="05797925"/>
    <w:rsid w:val="05D15C92"/>
    <w:rsid w:val="05F0289C"/>
    <w:rsid w:val="06802AE0"/>
    <w:rsid w:val="08366C6E"/>
    <w:rsid w:val="08744990"/>
    <w:rsid w:val="091A2F64"/>
    <w:rsid w:val="094D57C5"/>
    <w:rsid w:val="09DB45E1"/>
    <w:rsid w:val="0AE26E49"/>
    <w:rsid w:val="0B492C4D"/>
    <w:rsid w:val="0B5A1588"/>
    <w:rsid w:val="0BD0557B"/>
    <w:rsid w:val="0BDE0834"/>
    <w:rsid w:val="0BDF6407"/>
    <w:rsid w:val="0CAB09CA"/>
    <w:rsid w:val="0CC045BF"/>
    <w:rsid w:val="0D9A141A"/>
    <w:rsid w:val="0E503CD7"/>
    <w:rsid w:val="0E740DB9"/>
    <w:rsid w:val="0E9E2329"/>
    <w:rsid w:val="0EC55232"/>
    <w:rsid w:val="0EE50E47"/>
    <w:rsid w:val="0F084412"/>
    <w:rsid w:val="0F4F5CA7"/>
    <w:rsid w:val="0FC661DC"/>
    <w:rsid w:val="0FD63BBA"/>
    <w:rsid w:val="0FDC6C73"/>
    <w:rsid w:val="101623C1"/>
    <w:rsid w:val="102B2D08"/>
    <w:rsid w:val="10CB18C6"/>
    <w:rsid w:val="11192A0E"/>
    <w:rsid w:val="12E25D92"/>
    <w:rsid w:val="12E47409"/>
    <w:rsid w:val="132057AD"/>
    <w:rsid w:val="136F02CA"/>
    <w:rsid w:val="1413570F"/>
    <w:rsid w:val="14194E22"/>
    <w:rsid w:val="14883CCA"/>
    <w:rsid w:val="14C82772"/>
    <w:rsid w:val="14D132AB"/>
    <w:rsid w:val="16AF2B97"/>
    <w:rsid w:val="16C36934"/>
    <w:rsid w:val="174D7C44"/>
    <w:rsid w:val="178C4987"/>
    <w:rsid w:val="17AF24CE"/>
    <w:rsid w:val="18133B5E"/>
    <w:rsid w:val="184A43D6"/>
    <w:rsid w:val="185238FB"/>
    <w:rsid w:val="18852792"/>
    <w:rsid w:val="18935C1D"/>
    <w:rsid w:val="18C5309E"/>
    <w:rsid w:val="18FA6A77"/>
    <w:rsid w:val="191A05D9"/>
    <w:rsid w:val="19516A8D"/>
    <w:rsid w:val="1A095A61"/>
    <w:rsid w:val="1B532C0F"/>
    <w:rsid w:val="1B765A1A"/>
    <w:rsid w:val="1B9F6AD6"/>
    <w:rsid w:val="1BB2137F"/>
    <w:rsid w:val="1BC85248"/>
    <w:rsid w:val="1C4B50E3"/>
    <w:rsid w:val="1C540051"/>
    <w:rsid w:val="1D6342BD"/>
    <w:rsid w:val="1E57418F"/>
    <w:rsid w:val="1F1D0F84"/>
    <w:rsid w:val="1F7A134E"/>
    <w:rsid w:val="1FFD3236"/>
    <w:rsid w:val="225A1022"/>
    <w:rsid w:val="2281167B"/>
    <w:rsid w:val="230E7630"/>
    <w:rsid w:val="24983AAD"/>
    <w:rsid w:val="24D02F4A"/>
    <w:rsid w:val="251922E1"/>
    <w:rsid w:val="254A2DE2"/>
    <w:rsid w:val="25771648"/>
    <w:rsid w:val="259A72C2"/>
    <w:rsid w:val="25E16333"/>
    <w:rsid w:val="25EF3E13"/>
    <w:rsid w:val="26320B84"/>
    <w:rsid w:val="26DC4738"/>
    <w:rsid w:val="27024E27"/>
    <w:rsid w:val="27AE5A67"/>
    <w:rsid w:val="27B903A6"/>
    <w:rsid w:val="27DB0F34"/>
    <w:rsid w:val="288B2A25"/>
    <w:rsid w:val="28A53675"/>
    <w:rsid w:val="28B56024"/>
    <w:rsid w:val="28CF6D2D"/>
    <w:rsid w:val="28E55F25"/>
    <w:rsid w:val="2900024A"/>
    <w:rsid w:val="29147BA9"/>
    <w:rsid w:val="2A277D2B"/>
    <w:rsid w:val="2A9A054F"/>
    <w:rsid w:val="2AA62E06"/>
    <w:rsid w:val="2AE57DEA"/>
    <w:rsid w:val="2AF11708"/>
    <w:rsid w:val="2B0773EB"/>
    <w:rsid w:val="2B85573E"/>
    <w:rsid w:val="2BD41E69"/>
    <w:rsid w:val="2BE63304"/>
    <w:rsid w:val="2D2572B1"/>
    <w:rsid w:val="2DA25430"/>
    <w:rsid w:val="2E292D71"/>
    <w:rsid w:val="2E5B78CC"/>
    <w:rsid w:val="2F02375A"/>
    <w:rsid w:val="2F1E4619"/>
    <w:rsid w:val="2F3270F0"/>
    <w:rsid w:val="2F50177B"/>
    <w:rsid w:val="2F7B18C9"/>
    <w:rsid w:val="30513228"/>
    <w:rsid w:val="308F42AD"/>
    <w:rsid w:val="30D91988"/>
    <w:rsid w:val="31236D52"/>
    <w:rsid w:val="31434F17"/>
    <w:rsid w:val="31982A13"/>
    <w:rsid w:val="31D2198D"/>
    <w:rsid w:val="322C790D"/>
    <w:rsid w:val="32451263"/>
    <w:rsid w:val="34637064"/>
    <w:rsid w:val="34FA057E"/>
    <w:rsid w:val="36046217"/>
    <w:rsid w:val="374A6F32"/>
    <w:rsid w:val="37690CB9"/>
    <w:rsid w:val="38137E65"/>
    <w:rsid w:val="38226F68"/>
    <w:rsid w:val="38A11D2F"/>
    <w:rsid w:val="38B00E8D"/>
    <w:rsid w:val="39351DBF"/>
    <w:rsid w:val="39397F10"/>
    <w:rsid w:val="395B4875"/>
    <w:rsid w:val="3A2D5BC1"/>
    <w:rsid w:val="3A2E375B"/>
    <w:rsid w:val="3A2E7E2D"/>
    <w:rsid w:val="3A8C4AB1"/>
    <w:rsid w:val="3A955277"/>
    <w:rsid w:val="3AAD1831"/>
    <w:rsid w:val="3B13028E"/>
    <w:rsid w:val="3B99134D"/>
    <w:rsid w:val="3BC83F1D"/>
    <w:rsid w:val="3C0B762B"/>
    <w:rsid w:val="3C4D62F5"/>
    <w:rsid w:val="3C754551"/>
    <w:rsid w:val="3CDE5312"/>
    <w:rsid w:val="3D1E7A77"/>
    <w:rsid w:val="3D400CDD"/>
    <w:rsid w:val="3D4C7C8F"/>
    <w:rsid w:val="3DD628D1"/>
    <w:rsid w:val="3DDD7857"/>
    <w:rsid w:val="3DE7563C"/>
    <w:rsid w:val="3E8C3C4C"/>
    <w:rsid w:val="3F9A336D"/>
    <w:rsid w:val="42563B38"/>
    <w:rsid w:val="42610995"/>
    <w:rsid w:val="42AD22B0"/>
    <w:rsid w:val="42B8585D"/>
    <w:rsid w:val="42B86376"/>
    <w:rsid w:val="437D404D"/>
    <w:rsid w:val="43C206BA"/>
    <w:rsid w:val="43DA2A7B"/>
    <w:rsid w:val="441317DD"/>
    <w:rsid w:val="44384FF6"/>
    <w:rsid w:val="444A2DDE"/>
    <w:rsid w:val="445765D6"/>
    <w:rsid w:val="44A828AC"/>
    <w:rsid w:val="45416AC3"/>
    <w:rsid w:val="4548477E"/>
    <w:rsid w:val="45694BE2"/>
    <w:rsid w:val="45DE7C78"/>
    <w:rsid w:val="45E21771"/>
    <w:rsid w:val="46470BC9"/>
    <w:rsid w:val="46886D92"/>
    <w:rsid w:val="46A15985"/>
    <w:rsid w:val="472B13E7"/>
    <w:rsid w:val="48656D09"/>
    <w:rsid w:val="48BB1B18"/>
    <w:rsid w:val="490513AB"/>
    <w:rsid w:val="49403D11"/>
    <w:rsid w:val="49BD73C4"/>
    <w:rsid w:val="4A19133A"/>
    <w:rsid w:val="4B36100C"/>
    <w:rsid w:val="4B4A1068"/>
    <w:rsid w:val="4BF649D5"/>
    <w:rsid w:val="4C1F7AEF"/>
    <w:rsid w:val="4CEA4A23"/>
    <w:rsid w:val="4D735931"/>
    <w:rsid w:val="4DFE0209"/>
    <w:rsid w:val="4E0C31B9"/>
    <w:rsid w:val="4E716E61"/>
    <w:rsid w:val="4EB50B76"/>
    <w:rsid w:val="4EB95254"/>
    <w:rsid w:val="4F2C19BA"/>
    <w:rsid w:val="4FC8289D"/>
    <w:rsid w:val="4FD650BA"/>
    <w:rsid w:val="50303952"/>
    <w:rsid w:val="50D253D1"/>
    <w:rsid w:val="510C49A1"/>
    <w:rsid w:val="51694FCE"/>
    <w:rsid w:val="525660E0"/>
    <w:rsid w:val="529424A5"/>
    <w:rsid w:val="52F54849"/>
    <w:rsid w:val="534D48E2"/>
    <w:rsid w:val="53A84535"/>
    <w:rsid w:val="540121FE"/>
    <w:rsid w:val="54020008"/>
    <w:rsid w:val="542B6483"/>
    <w:rsid w:val="544B5C71"/>
    <w:rsid w:val="547A0ADF"/>
    <w:rsid w:val="550F1F17"/>
    <w:rsid w:val="556B5CBB"/>
    <w:rsid w:val="562B180D"/>
    <w:rsid w:val="562D340A"/>
    <w:rsid w:val="566243E6"/>
    <w:rsid w:val="567A3F1C"/>
    <w:rsid w:val="56AA3E32"/>
    <w:rsid w:val="5726622C"/>
    <w:rsid w:val="57EE644D"/>
    <w:rsid w:val="58521C23"/>
    <w:rsid w:val="58631897"/>
    <w:rsid w:val="588B301B"/>
    <w:rsid w:val="597E6233"/>
    <w:rsid w:val="5991788C"/>
    <w:rsid w:val="59AD3ACE"/>
    <w:rsid w:val="59F27880"/>
    <w:rsid w:val="5A846CDA"/>
    <w:rsid w:val="5B2E7357"/>
    <w:rsid w:val="5BB139A0"/>
    <w:rsid w:val="5BC0241E"/>
    <w:rsid w:val="5C590BA4"/>
    <w:rsid w:val="5C591BB0"/>
    <w:rsid w:val="5D1034E6"/>
    <w:rsid w:val="5D1967AE"/>
    <w:rsid w:val="5D536E2F"/>
    <w:rsid w:val="5EE44E3D"/>
    <w:rsid w:val="5EEC11EA"/>
    <w:rsid w:val="5F130FF7"/>
    <w:rsid w:val="5F394706"/>
    <w:rsid w:val="5F6A7910"/>
    <w:rsid w:val="5F7E134A"/>
    <w:rsid w:val="601E77A6"/>
    <w:rsid w:val="605A2F21"/>
    <w:rsid w:val="609B05B5"/>
    <w:rsid w:val="61150F28"/>
    <w:rsid w:val="611B17CC"/>
    <w:rsid w:val="61223269"/>
    <w:rsid w:val="61467963"/>
    <w:rsid w:val="614C135F"/>
    <w:rsid w:val="62261E48"/>
    <w:rsid w:val="624D5794"/>
    <w:rsid w:val="62E91A9A"/>
    <w:rsid w:val="62EF0300"/>
    <w:rsid w:val="62F87AF7"/>
    <w:rsid w:val="63142BA7"/>
    <w:rsid w:val="634C271B"/>
    <w:rsid w:val="63573716"/>
    <w:rsid w:val="64052869"/>
    <w:rsid w:val="64105EFB"/>
    <w:rsid w:val="649F3858"/>
    <w:rsid w:val="64B20C72"/>
    <w:rsid w:val="64CE7525"/>
    <w:rsid w:val="64E82629"/>
    <w:rsid w:val="65880910"/>
    <w:rsid w:val="66795110"/>
    <w:rsid w:val="670B525C"/>
    <w:rsid w:val="674D6C62"/>
    <w:rsid w:val="677D730F"/>
    <w:rsid w:val="67B2077B"/>
    <w:rsid w:val="68226A9B"/>
    <w:rsid w:val="68804D4E"/>
    <w:rsid w:val="6883309A"/>
    <w:rsid w:val="688D18FE"/>
    <w:rsid w:val="68957CE3"/>
    <w:rsid w:val="68C07B47"/>
    <w:rsid w:val="691E458A"/>
    <w:rsid w:val="697E420E"/>
    <w:rsid w:val="69EF04D1"/>
    <w:rsid w:val="69FB1B54"/>
    <w:rsid w:val="6A094D34"/>
    <w:rsid w:val="6A367B47"/>
    <w:rsid w:val="6ABD7141"/>
    <w:rsid w:val="6B2B59EE"/>
    <w:rsid w:val="6C275571"/>
    <w:rsid w:val="6D604AD4"/>
    <w:rsid w:val="6D6D6C63"/>
    <w:rsid w:val="6D7E1C2E"/>
    <w:rsid w:val="6DD36B2A"/>
    <w:rsid w:val="6E936CE0"/>
    <w:rsid w:val="6EAF7319"/>
    <w:rsid w:val="6F967A39"/>
    <w:rsid w:val="7004757C"/>
    <w:rsid w:val="704028D4"/>
    <w:rsid w:val="70AB3B3E"/>
    <w:rsid w:val="70C13950"/>
    <w:rsid w:val="70F607CE"/>
    <w:rsid w:val="718B376C"/>
    <w:rsid w:val="71BE6B05"/>
    <w:rsid w:val="71F84142"/>
    <w:rsid w:val="72986895"/>
    <w:rsid w:val="72ED680C"/>
    <w:rsid w:val="743A0810"/>
    <w:rsid w:val="75327C49"/>
    <w:rsid w:val="76055534"/>
    <w:rsid w:val="764044C6"/>
    <w:rsid w:val="768B411A"/>
    <w:rsid w:val="769959EA"/>
    <w:rsid w:val="76C56AB1"/>
    <w:rsid w:val="76E16F70"/>
    <w:rsid w:val="77465076"/>
    <w:rsid w:val="7781259E"/>
    <w:rsid w:val="77E051BC"/>
    <w:rsid w:val="78087595"/>
    <w:rsid w:val="781C6BBA"/>
    <w:rsid w:val="78240345"/>
    <w:rsid w:val="798D0407"/>
    <w:rsid w:val="7A351A0A"/>
    <w:rsid w:val="7A48532E"/>
    <w:rsid w:val="7AFA4ABC"/>
    <w:rsid w:val="7B525F7D"/>
    <w:rsid w:val="7BBC134D"/>
    <w:rsid w:val="7BCA0B52"/>
    <w:rsid w:val="7BFA25DF"/>
    <w:rsid w:val="7C10360C"/>
    <w:rsid w:val="7C7422C4"/>
    <w:rsid w:val="7D3922EA"/>
    <w:rsid w:val="7D6B7C02"/>
    <w:rsid w:val="7E8171BA"/>
    <w:rsid w:val="7E973452"/>
    <w:rsid w:val="7F1F5A3F"/>
    <w:rsid w:val="7FA04221"/>
    <w:rsid w:val="7FA169BB"/>
    <w:rsid w:val="7FB24E59"/>
    <w:rsid w:val="7FF3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rPr>
      <w:sz w:val="18"/>
      <w:szCs w:val="18"/>
    </w:rPr>
  </w:style>
  <w:style w:type="character" w:customStyle="1" w:styleId="5">
    <w:name w:val="批注框文本 字符"/>
    <w:basedOn w:val="3"/>
    <w:link w:val="2"/>
    <w:qFormat/>
    <w:uiPriority w:val="0"/>
    <w:rPr>
      <w:kern w:val="2"/>
      <w:sz w:val="18"/>
      <w:szCs w:val="18"/>
    </w:rPr>
  </w:style>
  <w:style w:type="paragraph" w:styleId="6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291</Words>
  <Characters>1659</Characters>
  <Lines>13</Lines>
  <Paragraphs>3</Paragraphs>
  <ScaleCrop>false</ScaleCrop>
  <LinksUpToDate>false</LinksUpToDate>
  <CharactersWithSpaces>1947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2018-02-07T03:54:00Z</dcterms:created>
  <dc:creator>Administrator</dc:creator>
  <cp:lastModifiedBy>Owen</cp:lastModifiedBy>
  <dcterms:modified xsi:type="dcterms:W3CDTF">2018-02-26T01:50:43Z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