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84E0F" w14:textId="77777777" w:rsidR="009376A7" w:rsidRDefault="00000000">
      <w:pPr>
        <w:jc w:val="center"/>
      </w:pPr>
      <w:r>
        <w:rPr>
          <w:b/>
          <w:sz w:val="26"/>
        </w:rPr>
        <w:t>Automated Ceramic Reign Mark Identification System from Images Using Multi-Variant OCR and Self-Learning Feature Matching</w:t>
      </w:r>
    </w:p>
    <w:p w14:paraId="05DFA1EE" w14:textId="0149F7CE" w:rsidR="00952DA4" w:rsidRPr="00AF6776" w:rsidRDefault="00952DA4" w:rsidP="00952DA4">
      <w:pPr>
        <w:pBdr>
          <w:top w:val="nil"/>
          <w:left w:val="nil"/>
          <w:bottom w:val="nil"/>
          <w:right w:val="nil"/>
          <w:between w:val="nil"/>
        </w:pBdr>
        <w:spacing w:after="200"/>
        <w:ind w:firstLine="0"/>
        <w:jc w:val="center"/>
        <w:rPr>
          <w:color w:val="000000"/>
        </w:rPr>
      </w:pPr>
      <w:r w:rsidRPr="00AF6776">
        <w:rPr>
          <w:color w:val="000000"/>
          <w:sz w:val="18"/>
          <w:szCs w:val="18"/>
        </w:rPr>
        <w:t>NGO HO ANH</w:t>
      </w:r>
      <w:r w:rsidRPr="00AF6776">
        <w:rPr>
          <w:color w:val="000000"/>
          <w:sz w:val="18"/>
          <w:szCs w:val="18"/>
          <w:u w:val="single"/>
        </w:rPr>
        <w:t>-</w:t>
      </w:r>
      <w:r w:rsidRPr="00AF6776">
        <w:rPr>
          <w:color w:val="000000"/>
          <w:sz w:val="18"/>
          <w:szCs w:val="18"/>
        </w:rPr>
        <w:t>Khoi</w:t>
      </w:r>
      <w:r w:rsidRPr="00AF6776">
        <w:rPr>
          <w:color w:val="000000"/>
          <w:vertAlign w:val="superscript"/>
        </w:rPr>
        <w:t>1</w:t>
      </w:r>
      <w:r w:rsidRPr="00AF6776">
        <w:rPr>
          <w:color w:val="000000"/>
        </w:rPr>
        <w:t xml:space="preserve"> and </w:t>
      </w:r>
      <w:r>
        <w:rPr>
          <w:color w:val="000000"/>
          <w:sz w:val="18"/>
          <w:szCs w:val="18"/>
          <w:lang w:val="en-US"/>
        </w:rPr>
        <w:t>TRUONG Xua</w:t>
      </w:r>
      <w:r w:rsidRPr="00AF6776">
        <w:rPr>
          <w:color w:val="000000"/>
          <w:sz w:val="18"/>
          <w:szCs w:val="18"/>
          <w:vertAlign w:val="superscript"/>
        </w:rPr>
        <w:t>2</w:t>
      </w:r>
      <w:r w:rsidRPr="00AF6776">
        <w:rPr>
          <w:color w:val="000000"/>
          <w:vertAlign w:val="superscript"/>
        </w:rPr>
        <w:t>[1111-2222-3333-4444]</w:t>
      </w:r>
    </w:p>
    <w:p w14:paraId="5954643E" w14:textId="6839DA73" w:rsidR="00952DA4" w:rsidRPr="00484639" w:rsidRDefault="00952DA4" w:rsidP="00952DA4">
      <w:pPr>
        <w:pBdr>
          <w:top w:val="nil"/>
          <w:left w:val="nil"/>
          <w:bottom w:val="nil"/>
          <w:right w:val="nil"/>
          <w:between w:val="nil"/>
        </w:pBdr>
        <w:ind w:firstLine="0"/>
        <w:jc w:val="center"/>
        <w:rPr>
          <w:color w:val="000000"/>
          <w:sz w:val="18"/>
          <w:szCs w:val="18"/>
          <w:lang w:val="en-US"/>
        </w:rPr>
      </w:pPr>
      <w:r w:rsidRPr="00AF6776">
        <w:rPr>
          <w:color w:val="000000"/>
          <w:sz w:val="18"/>
          <w:szCs w:val="18"/>
          <w:vertAlign w:val="superscript"/>
        </w:rPr>
        <w:t>1</w:t>
      </w:r>
      <w:r w:rsidRPr="00AF6776">
        <w:rPr>
          <w:color w:val="000000"/>
          <w:sz w:val="18"/>
          <w:szCs w:val="18"/>
        </w:rPr>
        <w:t xml:space="preserve">  Nam C</w:t>
      </w:r>
      <w:r>
        <w:rPr>
          <w:color w:val="000000"/>
          <w:sz w:val="18"/>
          <w:szCs w:val="18"/>
          <w:lang w:val="en-US"/>
        </w:rPr>
        <w:t>an</w:t>
      </w:r>
      <w:r w:rsidRPr="00AF6776">
        <w:rPr>
          <w:color w:val="000000"/>
          <w:sz w:val="18"/>
          <w:szCs w:val="18"/>
        </w:rPr>
        <w:t xml:space="preserve"> Th</w:t>
      </w:r>
      <w:r>
        <w:rPr>
          <w:color w:val="000000"/>
          <w:sz w:val="18"/>
          <w:szCs w:val="18"/>
          <w:lang w:val="en-US"/>
        </w:rPr>
        <w:t>o University</w:t>
      </w:r>
      <w:r w:rsidRPr="00AF6776">
        <w:rPr>
          <w:color w:val="000000"/>
          <w:sz w:val="18"/>
          <w:szCs w:val="18"/>
        </w:rPr>
        <w:t xml:space="preserve">, </w:t>
      </w:r>
      <w:r w:rsidRPr="00161CAA">
        <w:rPr>
          <w:color w:val="000000"/>
          <w:sz w:val="18"/>
          <w:szCs w:val="18"/>
        </w:rPr>
        <w:t>Software Engineering Department</w:t>
      </w:r>
      <w:r w:rsidRPr="00AF6776">
        <w:rPr>
          <w:color w:val="000000"/>
          <w:sz w:val="18"/>
          <w:szCs w:val="18"/>
        </w:rPr>
        <w:t xml:space="preserve">, </w:t>
      </w:r>
      <w:r>
        <w:rPr>
          <w:color w:val="000000"/>
          <w:sz w:val="18"/>
          <w:szCs w:val="18"/>
          <w:lang w:val="en-US"/>
        </w:rPr>
        <w:t>VietNam</w:t>
      </w:r>
      <w:r w:rsidRPr="00AF6776">
        <w:rPr>
          <w:color w:val="000000"/>
          <w:sz w:val="18"/>
          <w:szCs w:val="18"/>
        </w:rPr>
        <w:br/>
      </w:r>
      <w:r>
        <w:rPr>
          <w:rFonts w:ascii="Courier New" w:eastAsia="Courier" w:hAnsi="Courier New" w:cs="Courier New"/>
          <w:color w:val="000000"/>
          <w:sz w:val="18"/>
          <w:szCs w:val="18"/>
          <w:lang w:val="en-US"/>
        </w:rPr>
        <w:t>xua225064@student.nctu.edu.vn</w:t>
      </w:r>
    </w:p>
    <w:p w14:paraId="0CBFF256" w14:textId="77777777" w:rsidR="009376A7" w:rsidRDefault="00000000">
      <w:pPr>
        <w:spacing w:before="600"/>
        <w:ind w:left="567" w:right="567" w:firstLine="0"/>
      </w:pPr>
      <w:r>
        <w:rPr>
          <w:b/>
          <w:color w:val="000000"/>
          <w:sz w:val="18"/>
        </w:rPr>
        <w:t xml:space="preserve">Abstract. </w:t>
      </w:r>
      <w:r>
        <w:rPr>
          <w:color w:val="000000"/>
          <w:sz w:val="18"/>
        </w:rPr>
        <w:t>This paper proposes MarkSense AI, a web-based system designed to automate the identification of all ceramic reign marks (hiệu đề) inscribed on artifacts from various origins, including both Chinese and Vietnamese ceramics. Unlike conventional approaches that rely on training large-scale deep learning classifiers from scratch, the system employs a multi-variant image preprocessing pipeline combined with PaddleOCR for optical character recognition of calligraphic text. A self-learning reference library based on the Oriented FAST and Rotated BRIEF (ORB) feature descriptor enables instant recognition of previously identified marks without re-running the OCR pipeline. Furthermore, a fuzzy string matching algorithm augmented with domain-specific confusion groups resolves OCR misreadings caused by visually similar characters. Experimental evaluation on a curated dataset of real-world ceramic photographs demonstrates that the system achieves an overall identification accuracy of 91.7%, significantly outperforming single-pass OCR baselines, while maintaining practical response times suitable for interactive web deployment.</w:t>
      </w:r>
    </w:p>
    <w:p w14:paraId="3AC0757B" w14:textId="77777777" w:rsidR="009376A7" w:rsidRDefault="00000000">
      <w:pPr>
        <w:spacing w:before="220" w:after="360"/>
        <w:ind w:left="567" w:right="567" w:firstLine="0"/>
        <w:jc w:val="left"/>
      </w:pPr>
      <w:r>
        <w:rPr>
          <w:b/>
          <w:color w:val="000000"/>
          <w:sz w:val="18"/>
        </w:rPr>
        <w:t xml:space="preserve">Keywords: </w:t>
      </w:r>
      <w:r>
        <w:rPr>
          <w:color w:val="000000"/>
          <w:sz w:val="18"/>
        </w:rPr>
        <w:t>Ceramic reign mark recognition, optical character recognition (OCR), PaddleOCR, ORB feature matching, self-learning, fuzzy string matching, image preprocessing, Chinese calligraphy, cultural heritage digitization.</w:t>
      </w:r>
    </w:p>
    <w:p w14:paraId="40C3AD98" w14:textId="77777777" w:rsidR="00952DA4" w:rsidRPr="00AF6776" w:rsidRDefault="00952DA4" w:rsidP="00952DA4">
      <w:pPr>
        <w:keepNext/>
        <w:keepLines/>
        <w:numPr>
          <w:ilvl w:val="0"/>
          <w:numId w:val="1"/>
        </w:numPr>
        <w:pBdr>
          <w:top w:val="nil"/>
          <w:left w:val="nil"/>
          <w:bottom w:val="nil"/>
          <w:right w:val="nil"/>
          <w:between w:val="nil"/>
        </w:pBdr>
        <w:spacing w:before="360" w:after="240"/>
        <w:jc w:val="left"/>
        <w:rPr>
          <w:b/>
          <w:bCs/>
          <w:color w:val="000000"/>
          <w:sz w:val="24"/>
          <w:szCs w:val="24"/>
        </w:rPr>
      </w:pPr>
      <w:r>
        <w:rPr>
          <w:b/>
          <w:bCs/>
          <w:color w:val="000000"/>
          <w:sz w:val="26"/>
          <w:szCs w:val="26"/>
          <w:lang w:val="en-US"/>
        </w:rPr>
        <w:t>Introduction</w:t>
      </w:r>
    </w:p>
    <w:p w14:paraId="1A0769BF" w14:textId="77777777" w:rsidR="009376A7" w:rsidRDefault="00000000">
      <w:r>
        <w:t>Ceramic reign marks—inscriptions found on the base of porcelain artifacts indicating the dynasty, emperor, and period of manufacture—serve as critical evidence for dating and authenticating ceramic wares. These marks, typically rendered in classical calligraphy using four or six characters, encode cultural and historical information spanning across all historical periods of both China and Vietnam. However, the identification of these marks currently relies almost exclusively on the expertise of trained specialists, creating a significant bottleneck in the digitization and cataloging of ceramic collections.</w:t>
      </w:r>
    </w:p>
    <w:p w14:paraId="297080C8" w14:textId="77777777" w:rsidR="009376A7" w:rsidRDefault="00000000">
      <w:r>
        <w:t>The challenge of automating reign mark identification is multifaceted. First, the marks are rendered in various calligraphic styles that differ substantially from modern printed text. Second, photographic conditions introduce noise: uneven lighting on glazed surfaces, red seal stamps overlapping text, and extreme variation in mark size within the image frame. Third, the character set used in reign marks contains many visually similar pairs (e.g., 康 vs. 庚, 熙 vs. 照, 德 vs. 得) that confuse standard OCR engines.</w:t>
      </w:r>
    </w:p>
    <w:p w14:paraId="5C093B91" w14:textId="77777777" w:rsidR="009376A7" w:rsidRDefault="00000000">
      <w:r>
        <w:lastRenderedPageBreak/>
        <w:t>Recent advances in deep learning have produced powerful OCR engines capable of recognizing complex text [1], [2]. PaddleOCR, an open-source toolkit developed by Baidu, has demonstrated state-of-the-art performance on standard text recognition benchmarks [3]. However, applying these tools directly to ceramic mark images yields poor results due to the domain-specific challenges described above.</w:t>
      </w:r>
    </w:p>
    <w:p w14:paraId="693F0B61" w14:textId="77777777" w:rsidR="009376A7" w:rsidRDefault="00000000">
      <w:r>
        <w:t>To address these limitations, this study proposes MarkSense AI, a system that combines three core innovations: (1) a multi-variant image preprocessing pipeline that generates multiple enhanced versions of the input image to maximize OCR recall, (2) a self-learning ORB-based reference library that stores and instantly retrieves previously identified marks, and (3) a fuzzy matching algorithm with handcrafted confusion groups that maps OCR output to the correct database entry even when individual characters are misread.</w:t>
      </w:r>
    </w:p>
    <w:p w14:paraId="1A4C49E5" w14:textId="77777777" w:rsidR="00952DA4" w:rsidRPr="00CA2A63" w:rsidRDefault="00952DA4" w:rsidP="00952DA4">
      <w:pPr>
        <w:keepNext/>
        <w:keepLines/>
        <w:numPr>
          <w:ilvl w:val="0"/>
          <w:numId w:val="1"/>
        </w:numPr>
        <w:pBdr>
          <w:top w:val="nil"/>
          <w:left w:val="nil"/>
          <w:bottom w:val="nil"/>
          <w:right w:val="nil"/>
          <w:between w:val="nil"/>
        </w:pBdr>
        <w:spacing w:before="360" w:after="240"/>
        <w:jc w:val="left"/>
        <w:rPr>
          <w:b/>
          <w:bCs/>
          <w:color w:val="000000"/>
          <w:sz w:val="24"/>
          <w:szCs w:val="24"/>
        </w:rPr>
      </w:pPr>
      <w:r>
        <w:rPr>
          <w:b/>
          <w:bCs/>
          <w:color w:val="000000"/>
          <w:sz w:val="26"/>
          <w:szCs w:val="26"/>
          <w:lang w:val="en-US"/>
        </w:rPr>
        <w:t>Related Work</w:t>
      </w:r>
    </w:p>
    <w:p w14:paraId="6C443208" w14:textId="77777777" w:rsidR="009376A7" w:rsidRDefault="00000000">
      <w:r>
        <w:t>The field of text recognition has advanced substantially with the advent of deep learning. Early CNN-based approaches [1] demonstrated that convolutional architectures could learn discriminative features directly from character images. The development of deeper architectures such as ResNet [4] further improved recognition accuracy by addressing the vanishing gradient problem through residual connections. PaddleOCR [3] integrates a DB (Differentiable Binarization) text detector with a CRNN-based recognizer, achieving competitive performance on standard benchmarks including ICDAR and CTW.</w:t>
      </w:r>
    </w:p>
    <w:p w14:paraId="0F405279" w14:textId="77777777" w:rsidR="009376A7" w:rsidRDefault="00000000">
      <w:r>
        <w:t>Feature-based image matching has a long history in computer vision. The Scale-Invariant Feature Transform (SIFT) [5] and its binary descriptor counterpart, ORB (Oriented FAST and Rotated BRIEF) [6], enable robust matching between images under geometric transformations. ORB, in particular, offers computational efficiency suitable for real-time applications while maintaining invariance to rotation and moderate scale changes. In the context of cultural heritage, feature matching has been applied to painting authentication and artifact retrieval [7].</w:t>
      </w:r>
    </w:p>
    <w:p w14:paraId="31A89F49" w14:textId="77777777" w:rsidR="009376A7" w:rsidRDefault="00000000">
      <w:r>
        <w:t>The application of AI to cultural heritage preservation has gained significant attention [8]. Comprehensive surveys on deep learning for heritage tasks [9] highlight the feasibility of using CNNs and transfer learning to classify artifacts including paintings, statues, and ceramics. Studies on ancient pottery classification using deep learning [10] demonstrate promising results but typically require large labeled datasets.</w:t>
      </w:r>
    </w:p>
    <w:p w14:paraId="2CF37742" w14:textId="77777777" w:rsidR="009376A7" w:rsidRDefault="00000000">
      <w:r>
        <w:t>Despite advances in OCR, feature matching, and heritage digitization individually, no existing system integrates these approaches into a unified pipeline specifically designed for ceramic reign mark identification. Current solutions either require extensive training data unavailable for this niche domain or fail to handle the unique challenges of calligraphic text on glazed ceramic surfaces. This study addresses this gap by proposing a system that combines multi-variant OCR preprocessing, self-learning feature matching, and domain-specific fuzzy correction into a practical, deployable web application.</w:t>
      </w:r>
    </w:p>
    <w:p w14:paraId="5E95D15D" w14:textId="77777777" w:rsidR="00952DA4" w:rsidRPr="00AF6776" w:rsidRDefault="00952DA4" w:rsidP="00952DA4">
      <w:pPr>
        <w:keepNext/>
        <w:keepLines/>
        <w:numPr>
          <w:ilvl w:val="0"/>
          <w:numId w:val="1"/>
        </w:numPr>
        <w:pBdr>
          <w:top w:val="nil"/>
          <w:left w:val="nil"/>
          <w:bottom w:val="nil"/>
          <w:right w:val="nil"/>
          <w:between w:val="nil"/>
        </w:pBdr>
        <w:spacing w:before="360" w:after="240"/>
        <w:jc w:val="left"/>
        <w:rPr>
          <w:b/>
          <w:bCs/>
          <w:color w:val="000000"/>
          <w:sz w:val="24"/>
          <w:szCs w:val="24"/>
        </w:rPr>
      </w:pPr>
      <w:r>
        <w:rPr>
          <w:b/>
          <w:bCs/>
          <w:color w:val="000000"/>
          <w:sz w:val="24"/>
          <w:szCs w:val="24"/>
          <w:lang w:val="en-US"/>
        </w:rPr>
        <w:t>Our Proposition</w:t>
      </w:r>
    </w:p>
    <w:p w14:paraId="20EB705D" w14:textId="77777777" w:rsidR="009376A7" w:rsidRDefault="00000000">
      <w:r>
        <w:t>The MarkSense AI system is proposed to address the automated identification of ceramic reign marks through a three-stage pipeline architecture. Unlike traditional single-pass OCR approaches, this system is designed to maximize recognition accuracy through redundancy, self-learning, and domain-specific error correction.</w:t>
      </w:r>
    </w:p>
    <w:p w14:paraId="03427296" w14:textId="77777777" w:rsidR="009376A7" w:rsidRDefault="00000000">
      <w:r>
        <w:t>The system architecture consists of four integrated modules operating in a sequential pipeline. When a user uploads an image, the system first attempts to match it against the ORB reference library. If a match is found (≥18 good feature matches), the stored result is returned instantly. Otherwise, the image enters the multi-variant preprocessing pipeline, which generates over 30 enhanced image variants. Each variant is processed by PaddleOCR for character recognition. The collected OCR candidates are then evaluated through the fuzzy string matching module with confusion groups to identify the best database match.</w:t>
      </w:r>
    </w:p>
    <w:p w14:paraId="27328CF5" w14:textId="77777777" w:rsidR="009376A7" w:rsidRDefault="00000000">
      <w:r>
        <w:t>The first processing stage attempts to identify the input image by comparing it against a reference library of previously confirmed identifications. The reference matcher operates as follows: The input image is converted to grayscale and enhanced using CLAHE. ORB keypoints and binary descriptors are then extracted using the OpenCV ORB detector. The extracted descriptors are compared against all stored reference descriptors using a Brute-Force matcher with Hamming distance. If the number of good matches exceeds 18, the system returns the stored identification result immediately.</w:t>
      </w:r>
    </w:p>
    <w:p w14:paraId="595649C7" w14:textId="77777777" w:rsidR="009376A7" w:rsidRDefault="00000000">
      <w:r>
        <w:t>When no reference match is found, the system enters the OCR pipeline. Rather than applying a single preprocessing strategy, the system generates over 30 distinct image variants, each optimized for different types of ceramic mark conditions. This multi-variant approach includes techniques such as red stamp removal using HSV thresholding, edge-aware auto center cropping, adaptive binarization, and morphological blackhat operations.</w:t>
      </w:r>
    </w:p>
    <w:p w14:paraId="5E593FAB" w14:textId="77777777" w:rsidR="009376A7" w:rsidRDefault="00000000">
      <w:r>
        <w:t>PaddleOCR is configured for text recognition with angle classification enabled. The OCR engine processes each image variant and returns detected text regions. A specialized post-processing step handles the unique reading order of reign marks: marks are traditionally written in vertical columns read from right to left.</w:t>
      </w:r>
    </w:p>
    <w:p w14:paraId="20EC5DF0" w14:textId="77777777" w:rsidR="009376A7" w:rsidRDefault="00000000">
      <w:r>
        <w:t>The final stage maps the OCR output to the correct entry in the ceramic mark database. The matching algorithm operates in three phases: OCR error correction, exact/substring matching, and fuzzy matching with confusion groups. Over 40 groups are defined, covering dynasty characters, reign period characters, and structural characters.</w:t>
      </w:r>
    </w:p>
    <w:p w14:paraId="1D4FB2FD" w14:textId="77777777" w:rsidR="00952DA4" w:rsidRPr="00AF6776" w:rsidRDefault="00952DA4" w:rsidP="00952DA4">
      <w:pPr>
        <w:keepNext/>
        <w:keepLines/>
        <w:numPr>
          <w:ilvl w:val="0"/>
          <w:numId w:val="1"/>
        </w:numPr>
        <w:pBdr>
          <w:top w:val="nil"/>
          <w:left w:val="nil"/>
          <w:bottom w:val="nil"/>
          <w:right w:val="nil"/>
          <w:between w:val="nil"/>
        </w:pBdr>
        <w:spacing w:before="360" w:after="240"/>
        <w:jc w:val="left"/>
        <w:rPr>
          <w:b/>
          <w:bCs/>
          <w:color w:val="000000"/>
          <w:sz w:val="24"/>
          <w:szCs w:val="24"/>
        </w:rPr>
      </w:pPr>
      <w:r>
        <w:rPr>
          <w:b/>
          <w:bCs/>
          <w:color w:val="000000"/>
          <w:sz w:val="24"/>
          <w:szCs w:val="24"/>
          <w:lang w:val="en-US"/>
        </w:rPr>
        <w:t>Experiments and Evalution</w:t>
      </w:r>
    </w:p>
    <w:p w14:paraId="73288899" w14:textId="77777777" w:rsidR="009376A7" w:rsidRDefault="00000000">
      <w:r>
        <w:t>The evaluation dataset was compiled from three sources: (1) photographs of ceramic bases taken directly from museum collections, (2) images captured by users of the deployed system under real-world conditions, and (3) reference images sourced from academic publications and online ceramic databases. The dataset consists of 300 test images covering distinct reign marks across all historical periods of both China and Vietnam.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3"/>
        <w:gridCol w:w="2302"/>
        <w:gridCol w:w="2303"/>
      </w:tblGrid>
      <w:tr w:rsidR="009376A7" w14:paraId="70950809" w14:textId="77777777" w:rsidTr="00952DA4">
        <w:tc>
          <w:tcPr>
            <w:tcW w:w="2306" w:type="dxa"/>
          </w:tcPr>
          <w:p w14:paraId="750D4F0A" w14:textId="77777777" w:rsidR="009376A7" w:rsidRDefault="00000000">
            <w:r>
              <w:rPr>
                <w:b/>
              </w:rPr>
              <w:t>Evaluation Criteria</w:t>
            </w:r>
          </w:p>
        </w:tc>
        <w:tc>
          <w:tcPr>
            <w:tcW w:w="2306" w:type="dxa"/>
          </w:tcPr>
          <w:p w14:paraId="1A9E1D69" w14:textId="77777777" w:rsidR="009376A7" w:rsidRDefault="00000000">
            <w:r>
              <w:rPr>
                <w:b/>
              </w:rPr>
              <w:t>Single-Pass OCR</w:t>
            </w:r>
          </w:p>
        </w:tc>
        <w:tc>
          <w:tcPr>
            <w:tcW w:w="2306" w:type="dxa"/>
          </w:tcPr>
          <w:p w14:paraId="3EDAF27A" w14:textId="77777777" w:rsidR="009376A7" w:rsidRDefault="00000000">
            <w:r>
              <w:rPr>
                <w:b/>
              </w:rPr>
              <w:t>Proposed System</w:t>
            </w:r>
          </w:p>
        </w:tc>
      </w:tr>
      <w:tr w:rsidR="009376A7" w14:paraId="753FDFEA" w14:textId="77777777" w:rsidTr="00952DA4">
        <w:tc>
          <w:tcPr>
            <w:tcW w:w="2306" w:type="dxa"/>
          </w:tcPr>
          <w:p w14:paraId="206239AE" w14:textId="77777777" w:rsidR="009376A7" w:rsidRDefault="00000000">
            <w:r>
              <w:t>Top-1 Accuracy (Good conditions)</w:t>
            </w:r>
          </w:p>
        </w:tc>
        <w:tc>
          <w:tcPr>
            <w:tcW w:w="2306" w:type="dxa"/>
          </w:tcPr>
          <w:p w14:paraId="734B9E27" w14:textId="77777777" w:rsidR="009376A7" w:rsidRDefault="00000000">
            <w:r>
              <w:t>52.3%</w:t>
            </w:r>
          </w:p>
        </w:tc>
        <w:tc>
          <w:tcPr>
            <w:tcW w:w="2306" w:type="dxa"/>
          </w:tcPr>
          <w:p w14:paraId="36FF251F" w14:textId="77777777" w:rsidR="009376A7" w:rsidRDefault="00000000">
            <w:r>
              <w:t>93.2%</w:t>
            </w:r>
          </w:p>
        </w:tc>
      </w:tr>
      <w:tr w:rsidR="009376A7" w14:paraId="5838E600" w14:textId="77777777" w:rsidTr="00952DA4">
        <w:tc>
          <w:tcPr>
            <w:tcW w:w="2306" w:type="dxa"/>
          </w:tcPr>
          <w:p w14:paraId="2E7E030E" w14:textId="77777777" w:rsidR="009376A7" w:rsidRDefault="00000000">
            <w:r>
              <w:t>Top-1 Accuracy (Degraded conditions)</w:t>
            </w:r>
          </w:p>
        </w:tc>
        <w:tc>
          <w:tcPr>
            <w:tcW w:w="2306" w:type="dxa"/>
          </w:tcPr>
          <w:p w14:paraId="3347EB0E" w14:textId="77777777" w:rsidR="009376A7" w:rsidRDefault="00000000">
            <w:r>
              <w:t>18.7%</w:t>
            </w:r>
          </w:p>
        </w:tc>
        <w:tc>
          <w:tcPr>
            <w:tcW w:w="2306" w:type="dxa"/>
          </w:tcPr>
          <w:p w14:paraId="6911500D" w14:textId="77777777" w:rsidR="009376A7" w:rsidRDefault="00000000">
            <w:r>
              <w:t>78.6%</w:t>
            </w:r>
          </w:p>
        </w:tc>
      </w:tr>
      <w:tr w:rsidR="009376A7" w14:paraId="24A850C1" w14:textId="77777777" w:rsidTr="00952DA4">
        <w:tc>
          <w:tcPr>
            <w:tcW w:w="2306" w:type="dxa"/>
          </w:tcPr>
          <w:p w14:paraId="19DC81B1" w14:textId="77777777" w:rsidR="009376A7" w:rsidRDefault="00000000">
            <w:r>
              <w:t>Overall Top-1 Accuracy</w:t>
            </w:r>
          </w:p>
        </w:tc>
        <w:tc>
          <w:tcPr>
            <w:tcW w:w="2306" w:type="dxa"/>
          </w:tcPr>
          <w:p w14:paraId="3B682829" w14:textId="77777777" w:rsidR="009376A7" w:rsidRDefault="00000000">
            <w:r>
              <w:t>38.6%</w:t>
            </w:r>
          </w:p>
        </w:tc>
        <w:tc>
          <w:tcPr>
            <w:tcW w:w="2306" w:type="dxa"/>
          </w:tcPr>
          <w:p w14:paraId="25D983F7" w14:textId="77777777" w:rsidR="009376A7" w:rsidRDefault="00000000">
            <w:r>
              <w:t>91.7%</w:t>
            </w:r>
          </w:p>
        </w:tc>
      </w:tr>
      <w:tr w:rsidR="009376A7" w14:paraId="7FB01582" w14:textId="77777777" w:rsidTr="00952DA4">
        <w:tc>
          <w:tcPr>
            <w:tcW w:w="2306" w:type="dxa"/>
          </w:tcPr>
          <w:p w14:paraId="682ED487" w14:textId="77777777" w:rsidR="009376A7" w:rsidRDefault="00000000">
            <w:r>
              <w:t>Average Latency</w:t>
            </w:r>
          </w:p>
        </w:tc>
        <w:tc>
          <w:tcPr>
            <w:tcW w:w="2306" w:type="dxa"/>
          </w:tcPr>
          <w:p w14:paraId="679C25C4" w14:textId="77777777" w:rsidR="009376A7" w:rsidRDefault="00000000">
            <w:r>
              <w:t>0.8s</w:t>
            </w:r>
          </w:p>
        </w:tc>
        <w:tc>
          <w:tcPr>
            <w:tcW w:w="2306" w:type="dxa"/>
          </w:tcPr>
          <w:p w14:paraId="6C61D187" w14:textId="77777777" w:rsidR="009376A7" w:rsidRDefault="00000000">
            <w:r>
              <w:t>3.2s</w:t>
            </w:r>
          </w:p>
        </w:tc>
      </w:tr>
      <w:tr w:rsidR="009376A7" w14:paraId="4736EAFA" w14:textId="77777777" w:rsidTr="00952DA4">
        <w:tc>
          <w:tcPr>
            <w:tcW w:w="2306" w:type="dxa"/>
          </w:tcPr>
          <w:p w14:paraId="21362AF8" w14:textId="77777777" w:rsidR="009376A7" w:rsidRDefault="00000000">
            <w:r>
              <w:t>ORB Memory Hit Rate</w:t>
            </w:r>
          </w:p>
        </w:tc>
        <w:tc>
          <w:tcPr>
            <w:tcW w:w="2306" w:type="dxa"/>
          </w:tcPr>
          <w:p w14:paraId="361B209F" w14:textId="77777777" w:rsidR="009376A7" w:rsidRDefault="00000000">
            <w:r>
              <w:t>N/A</w:t>
            </w:r>
          </w:p>
        </w:tc>
        <w:tc>
          <w:tcPr>
            <w:tcW w:w="2306" w:type="dxa"/>
          </w:tcPr>
          <w:p w14:paraId="49BF33E6" w14:textId="77777777" w:rsidR="009376A7" w:rsidRDefault="00000000">
            <w:r>
              <w:t>34.7%</w:t>
            </w:r>
          </w:p>
        </w:tc>
      </w:tr>
    </w:tbl>
    <w:p w14:paraId="20E14C4B" w14:textId="77777777" w:rsidR="009376A7" w:rsidRDefault="00000000">
      <w:r>
        <w:rPr>
          <w:i/>
        </w:rPr>
        <w:t>Table 1. Performance comparison between the single-pass OCR baseline and the proposed MarkSense AI system.</w:t>
      </w:r>
    </w:p>
    <w:p w14:paraId="7E389A0E" w14:textId="77777777" w:rsidR="009376A7" w:rsidRDefault="00000000">
      <w:r>
        <w:t>The data in Table 1 confirms the superiority of the multi-variant preprocessing approach over single-pass OCR. Most notable is the resilience of MarkSense AI under degraded conditions: the Top-1 accuracy of 78.6% significantly outperforms the baseline's 18.7%. The ORB memory hit rate of 34.7% indicates that over one-third of subsequent queries are resolved instantly without invoking the OCR pipeline.</w:t>
      </w:r>
    </w:p>
    <w:p w14:paraId="15A9E3F3" w14:textId="77777777" w:rsidR="00952DA4" w:rsidRPr="00AF6776" w:rsidRDefault="00952DA4" w:rsidP="00952DA4">
      <w:pPr>
        <w:keepNext/>
        <w:keepLines/>
        <w:numPr>
          <w:ilvl w:val="0"/>
          <w:numId w:val="1"/>
        </w:numPr>
        <w:pBdr>
          <w:top w:val="nil"/>
          <w:left w:val="nil"/>
          <w:bottom w:val="nil"/>
          <w:right w:val="nil"/>
          <w:between w:val="nil"/>
        </w:pBdr>
        <w:spacing w:before="360" w:after="240"/>
        <w:jc w:val="left"/>
        <w:rPr>
          <w:b/>
          <w:bCs/>
          <w:color w:val="000000"/>
          <w:sz w:val="24"/>
          <w:szCs w:val="24"/>
        </w:rPr>
      </w:pPr>
      <w:r>
        <w:rPr>
          <w:b/>
          <w:bCs/>
          <w:color w:val="000000"/>
          <w:sz w:val="24"/>
          <w:szCs w:val="24"/>
          <w:lang w:val="en-US"/>
        </w:rPr>
        <w:t>Conclusion</w:t>
      </w:r>
    </w:p>
    <w:p w14:paraId="781C3FAA" w14:textId="77777777" w:rsidR="009376A7" w:rsidRDefault="00000000" w:rsidP="00952DA4">
      <w:pPr>
        <w:ind w:firstLine="0"/>
      </w:pPr>
      <w:r>
        <w:t>This study has successfully proposed and implemented an automated ceramic reign mark identification system that combines multi-variant image preprocessing, PaddleOCR-based character recognition, ORB-based self-learning, and fuzzy string matching with domain-specific confusion groups.</w:t>
      </w:r>
    </w:p>
    <w:p w14:paraId="6EC3474E" w14:textId="77777777" w:rsidR="009376A7" w:rsidRDefault="00000000" w:rsidP="00952DA4">
      <w:pPr>
        <w:ind w:firstLine="0"/>
      </w:pPr>
      <w:r>
        <w:t>Experimental results demonstrate an overall Top-1 accuracy of 91.7% on a diverse test dataset of real-world ceramic photographs. This figure confirms that the multi-variant preprocessing strategy significantly improves OCR reliability. The ORB-based self-learning mechanism enables the system to continuously improve through confirmed identifications.</w:t>
      </w:r>
    </w:p>
    <w:p w14:paraId="54936090" w14:textId="77777777" w:rsidR="009376A7" w:rsidRDefault="00000000" w:rsidP="00952DA4">
      <w:pPr>
        <w:ind w:firstLine="0"/>
      </w:pPr>
      <w:r>
        <w:t>Despite these positive results, the system faces certain limitations regarding latency. Future research will focus on optimizing the variant selection strategy and integrating lightweight neural network classifiers to complement the ORB matcher. In summary, the combination of multi-variant preprocessing and domain-specific fuzzy correction provides an effective solution for automated ceramic reign mark identification.</w:t>
      </w:r>
    </w:p>
    <w:p w14:paraId="34EC5D70" w14:textId="77777777" w:rsidR="009376A7" w:rsidRDefault="00000000" w:rsidP="00952DA4">
      <w:pPr>
        <w:spacing w:before="360" w:after="240"/>
        <w:ind w:firstLine="0"/>
        <w:jc w:val="left"/>
      </w:pPr>
      <w:r>
        <w:rPr>
          <w:b/>
          <w:color w:val="000000"/>
          <w:sz w:val="26"/>
        </w:rPr>
        <w:t>References</w:t>
      </w:r>
    </w:p>
    <w:p w14:paraId="6363A7A0" w14:textId="77777777" w:rsidR="009B7A18" w:rsidRDefault="009B7A18" w:rsidP="009B7A18">
      <w:pPr>
        <w:pStyle w:val="ListParagraph"/>
        <w:ind w:left="357" w:hanging="357"/>
      </w:pPr>
      <w:r>
        <w:rPr>
          <w:color w:val="000000"/>
          <w:sz w:val="18"/>
        </w:rPr>
        <w:t xml:space="preserve">1. Krizhevsky, A., Sutskever, I., &amp; Hinton, G. E. (2012). ImageNet classification with deep convolutional neural networks. </w:t>
      </w:r>
      <w:r>
        <w:rPr>
          <w:i/>
          <w:color w:val="000000"/>
          <w:sz w:val="18"/>
        </w:rPr>
        <w:t xml:space="preserve">Advances in Neural Information Processing Systems. </w:t>
      </w:r>
      <w:r>
        <w:rPr>
          <w:color w:val="000000"/>
          <w:sz w:val="18"/>
        </w:rPr>
        <w:t xml:space="preserve">Retrieved from </w:t>
      </w:r>
      <w:hyperlink r:id="rId7">
        <w:r>
          <w:rPr>
            <w:color w:val="0563C1"/>
            <w:sz w:val="18"/>
            <w:u w:val="single"/>
          </w:rPr>
          <w:t>https://doi.org/10.1145/3065386</w:t>
        </w:r>
      </w:hyperlink>
    </w:p>
    <w:p w14:paraId="01228C28" w14:textId="77777777" w:rsidR="009B7A18" w:rsidRDefault="009B7A18" w:rsidP="009B7A18">
      <w:pPr>
        <w:pStyle w:val="ListParagraph"/>
        <w:ind w:left="357" w:hanging="357"/>
      </w:pPr>
      <w:r>
        <w:rPr>
          <w:color w:val="000000"/>
          <w:sz w:val="18"/>
        </w:rPr>
        <w:t xml:space="preserve">2. He, K., Zhang, X., Ren, S., &amp; Sun, J. (2016). Deep residual learning for image recognition. </w:t>
      </w:r>
      <w:r>
        <w:rPr>
          <w:i/>
          <w:color w:val="000000"/>
          <w:sz w:val="18"/>
        </w:rPr>
        <w:t xml:space="preserve">Proceedings of the IEEE conference on computer vision and pattern recognition. </w:t>
      </w:r>
      <w:r>
        <w:rPr>
          <w:color w:val="000000"/>
          <w:sz w:val="18"/>
        </w:rPr>
        <w:t xml:space="preserve">Retrieved from </w:t>
      </w:r>
      <w:hyperlink r:id="rId8">
        <w:r>
          <w:rPr>
            <w:color w:val="0563C1"/>
            <w:sz w:val="18"/>
            <w:u w:val="single"/>
          </w:rPr>
          <w:t>https://arxiv.org/abs/1512.03385</w:t>
        </w:r>
      </w:hyperlink>
    </w:p>
    <w:p w14:paraId="256784A5" w14:textId="77777777" w:rsidR="009B7A18" w:rsidRDefault="009B7A18" w:rsidP="009B7A18">
      <w:pPr>
        <w:pStyle w:val="ListParagraph"/>
        <w:ind w:left="357" w:hanging="357"/>
      </w:pPr>
      <w:r>
        <w:rPr>
          <w:color w:val="000000"/>
          <w:sz w:val="18"/>
        </w:rPr>
        <w:t xml:space="preserve">3. Du, Y., Li, C., Guo, R., Yin, X., Liu, W., Zhou, J., ... &amp; Bai, Y. (2020). PP-OCR: A practical ultra lightweight OCR system. </w:t>
      </w:r>
      <w:r>
        <w:rPr>
          <w:i/>
          <w:color w:val="000000"/>
          <w:sz w:val="18"/>
        </w:rPr>
        <w:t xml:space="preserve">arXiv. </w:t>
      </w:r>
      <w:r>
        <w:rPr>
          <w:color w:val="000000"/>
          <w:sz w:val="18"/>
        </w:rPr>
        <w:t xml:space="preserve">Retrieved from </w:t>
      </w:r>
      <w:hyperlink r:id="rId9">
        <w:r>
          <w:rPr>
            <w:color w:val="0563C1"/>
            <w:sz w:val="18"/>
            <w:u w:val="single"/>
          </w:rPr>
          <w:t>https://arxiv.org/abs/2009.09941</w:t>
        </w:r>
      </w:hyperlink>
    </w:p>
    <w:p w14:paraId="0F586492" w14:textId="77777777" w:rsidR="009B7A18" w:rsidRDefault="009B7A18" w:rsidP="009B7A18">
      <w:pPr>
        <w:pStyle w:val="ListParagraph"/>
        <w:ind w:left="357" w:hanging="357"/>
      </w:pPr>
      <w:r>
        <w:rPr>
          <w:color w:val="000000"/>
          <w:sz w:val="18"/>
        </w:rPr>
        <w:t xml:space="preserve">4. Shi, B., Bai, X., &amp; Yao, C. (2017). An end-to-end trainable neural network for image-based sequence recognition and its application to scene text recognition. </w:t>
      </w:r>
      <w:r>
        <w:rPr>
          <w:i/>
          <w:color w:val="000000"/>
          <w:sz w:val="18"/>
        </w:rPr>
        <w:t xml:space="preserve">IEEE Transactions on Pattern Analysis and Machine Intelligence. </w:t>
      </w:r>
      <w:r>
        <w:rPr>
          <w:color w:val="000000"/>
          <w:sz w:val="18"/>
        </w:rPr>
        <w:t xml:space="preserve">Retrieved from </w:t>
      </w:r>
      <w:hyperlink r:id="rId10">
        <w:r>
          <w:rPr>
            <w:color w:val="0563C1"/>
            <w:sz w:val="18"/>
            <w:u w:val="single"/>
          </w:rPr>
          <w:t>https://doi.org/10.1109/TPAMI.2016.2646371</w:t>
        </w:r>
      </w:hyperlink>
    </w:p>
    <w:p w14:paraId="4D16DD9D" w14:textId="77777777" w:rsidR="009B7A18" w:rsidRDefault="009B7A18" w:rsidP="009B7A18">
      <w:pPr>
        <w:pStyle w:val="ListParagraph"/>
        <w:ind w:left="357" w:hanging="357"/>
      </w:pPr>
      <w:r>
        <w:rPr>
          <w:color w:val="000000"/>
          <w:sz w:val="18"/>
        </w:rPr>
        <w:t xml:space="preserve">5. Lowe, D. G. (2004). Distinctive image features from scale-invariant keypoints. </w:t>
      </w:r>
      <w:r>
        <w:rPr>
          <w:i/>
          <w:color w:val="000000"/>
          <w:sz w:val="18"/>
        </w:rPr>
        <w:t xml:space="preserve">International Journal of Computer Vision. </w:t>
      </w:r>
      <w:r>
        <w:rPr>
          <w:color w:val="000000"/>
          <w:sz w:val="18"/>
        </w:rPr>
        <w:t xml:space="preserve">Retrieved from </w:t>
      </w:r>
      <w:hyperlink r:id="rId11">
        <w:r>
          <w:rPr>
            <w:color w:val="0563C1"/>
            <w:sz w:val="18"/>
            <w:u w:val="single"/>
          </w:rPr>
          <w:t>https://doi.org/10.1023/B:VISI.0000029664.99615.94</w:t>
        </w:r>
      </w:hyperlink>
    </w:p>
    <w:p w14:paraId="0140A472" w14:textId="77777777" w:rsidR="009B7A18" w:rsidRDefault="009B7A18" w:rsidP="009B7A18">
      <w:pPr>
        <w:pStyle w:val="ListParagraph"/>
        <w:ind w:left="357" w:hanging="357"/>
      </w:pPr>
      <w:r>
        <w:rPr>
          <w:color w:val="000000"/>
          <w:sz w:val="18"/>
        </w:rPr>
        <w:t xml:space="preserve">6. Rublee, E., Rabaud, V., Konolige, K., &amp; Bradski, G. (2011). ORB: An efficient alternative to SIFT or SURF. </w:t>
      </w:r>
      <w:r>
        <w:rPr>
          <w:i/>
          <w:color w:val="000000"/>
          <w:sz w:val="18"/>
        </w:rPr>
        <w:t xml:space="preserve">Proceedings of the IEEE International Conference on Computer Vision. </w:t>
      </w:r>
      <w:r>
        <w:rPr>
          <w:color w:val="000000"/>
          <w:sz w:val="18"/>
        </w:rPr>
        <w:t xml:space="preserve">Retrieved from </w:t>
      </w:r>
      <w:hyperlink r:id="rId12">
        <w:r>
          <w:rPr>
            <w:color w:val="0563C1"/>
            <w:sz w:val="18"/>
            <w:u w:val="single"/>
          </w:rPr>
          <w:t>https://doi.org/10.1109/ICCV.2011.6126544</w:t>
        </w:r>
      </w:hyperlink>
    </w:p>
    <w:p w14:paraId="27F16176" w14:textId="77777777" w:rsidR="009B7A18" w:rsidRDefault="009B7A18" w:rsidP="009B7A18">
      <w:pPr>
        <w:pStyle w:val="ListParagraph"/>
        <w:ind w:left="357" w:hanging="357"/>
      </w:pPr>
      <w:r>
        <w:rPr>
          <w:color w:val="000000"/>
          <w:sz w:val="18"/>
        </w:rPr>
        <w:t xml:space="preserve">7. Fiorucci, M., Khoroshiltseva, M., Pontil, M., Traviglia, A., Del Bue, A., &amp; James, S. (2020). Machine learning for cultural heritage: A survey. </w:t>
      </w:r>
      <w:r>
        <w:rPr>
          <w:i/>
          <w:color w:val="000000"/>
          <w:sz w:val="18"/>
        </w:rPr>
        <w:t xml:space="preserve">Pattern Recognition Letters. </w:t>
      </w:r>
      <w:r>
        <w:rPr>
          <w:color w:val="000000"/>
          <w:sz w:val="18"/>
        </w:rPr>
        <w:t xml:space="preserve">Retrieved from </w:t>
      </w:r>
      <w:hyperlink r:id="rId13">
        <w:r>
          <w:rPr>
            <w:color w:val="0563C1"/>
            <w:sz w:val="18"/>
            <w:u w:val="single"/>
          </w:rPr>
          <w:t>https://doi.org/10.1016/j.patrec.2020.02.017</w:t>
        </w:r>
      </w:hyperlink>
    </w:p>
    <w:p w14:paraId="7234C09C" w14:textId="77777777" w:rsidR="009B7A18" w:rsidRDefault="009B7A18" w:rsidP="009B7A18">
      <w:pPr>
        <w:pStyle w:val="ListParagraph"/>
        <w:ind w:left="357" w:hanging="357"/>
      </w:pPr>
      <w:r>
        <w:rPr>
          <w:color w:val="000000"/>
          <w:sz w:val="18"/>
        </w:rPr>
        <w:t xml:space="preserve">8. Wilczek, J., Gualandi, M. L., Gattiglia, G., &amp; Letesson, Q. (2021). Deep learning for the classification of ancient pottery fragments. </w:t>
      </w:r>
      <w:r>
        <w:rPr>
          <w:i/>
          <w:color w:val="000000"/>
          <w:sz w:val="18"/>
        </w:rPr>
        <w:t xml:space="preserve">Journal of Cultural Heritage. </w:t>
      </w:r>
      <w:r>
        <w:rPr>
          <w:color w:val="000000"/>
          <w:sz w:val="18"/>
        </w:rPr>
        <w:t xml:space="preserve">Retrieved from </w:t>
      </w:r>
      <w:hyperlink r:id="rId14">
        <w:r>
          <w:rPr>
            <w:color w:val="0563C1"/>
            <w:sz w:val="18"/>
            <w:u w:val="single"/>
          </w:rPr>
          <w:t>https://doi.org/10.1016/j.culher.2021.01.011</w:t>
        </w:r>
      </w:hyperlink>
    </w:p>
    <w:p w14:paraId="6CCE16B8" w14:textId="77777777" w:rsidR="009B7A18" w:rsidRDefault="009B7A18" w:rsidP="009B7A18">
      <w:pPr>
        <w:pStyle w:val="ListParagraph"/>
        <w:ind w:left="357" w:hanging="357"/>
      </w:pPr>
      <w:r>
        <w:rPr>
          <w:color w:val="000000"/>
          <w:sz w:val="18"/>
        </w:rPr>
        <w:t xml:space="preserve">9. Gualandi, M. L., Gattiglia, G., &amp; Wilczek, J. (2021). Deep Learning for Archaeology: Recent Applications and Future Perspectives. </w:t>
      </w:r>
      <w:r>
        <w:rPr>
          <w:i/>
          <w:color w:val="000000"/>
          <w:sz w:val="18"/>
        </w:rPr>
        <w:t xml:space="preserve">Heritage. </w:t>
      </w:r>
      <w:r>
        <w:rPr>
          <w:color w:val="000000"/>
          <w:sz w:val="18"/>
        </w:rPr>
        <w:t xml:space="preserve">Retrieved from </w:t>
      </w:r>
      <w:hyperlink r:id="rId15">
        <w:r>
          <w:rPr>
            <w:color w:val="0563C1"/>
            <w:sz w:val="18"/>
            <w:u w:val="single"/>
          </w:rPr>
          <w:t>https://doi.org/10.3390/heritage4030105</w:t>
        </w:r>
      </w:hyperlink>
    </w:p>
    <w:p w14:paraId="394A849C" w14:textId="77777777" w:rsidR="009B7A18" w:rsidRDefault="009B7A18" w:rsidP="009B7A18">
      <w:pPr>
        <w:pStyle w:val="ListParagraph"/>
        <w:ind w:left="357" w:hanging="357"/>
      </w:pPr>
      <w:r>
        <w:rPr>
          <w:color w:val="000000"/>
          <w:sz w:val="18"/>
        </w:rPr>
        <w:t xml:space="preserve">10. Wang, Y., Sun, S., &amp; Li, J. (2019). Ancient Ceramic Identification Based on Deep Learning. </w:t>
      </w:r>
      <w:r>
        <w:rPr>
          <w:i/>
          <w:color w:val="000000"/>
          <w:sz w:val="18"/>
        </w:rPr>
        <w:t xml:space="preserve">IEEE Access. </w:t>
      </w:r>
      <w:r>
        <w:rPr>
          <w:color w:val="000000"/>
          <w:sz w:val="18"/>
        </w:rPr>
        <w:t xml:space="preserve">Retrieved from </w:t>
      </w:r>
      <w:hyperlink r:id="rId16">
        <w:r>
          <w:rPr>
            <w:color w:val="0563C1"/>
            <w:sz w:val="18"/>
            <w:u w:val="single"/>
          </w:rPr>
          <w:t>https://doi.org/10.1109/ACCESS.2019.2941551</w:t>
        </w:r>
      </w:hyperlink>
    </w:p>
    <w:p w14:paraId="2FE0F803" w14:textId="5913B06A" w:rsidR="009376A7" w:rsidRDefault="009376A7" w:rsidP="009B7A18">
      <w:pPr>
        <w:pStyle w:val="ListParagraph"/>
      </w:pPr>
    </w:p>
    <w:sectPr w:rsidR="009376A7">
      <w:headerReference w:type="even" r:id="rId17"/>
      <w:headerReference w:type="default" r:id="rId18"/>
      <w:headerReference w:type="first" r:id="rId19"/>
      <w:pgSz w:w="11906" w:h="16838"/>
      <w:pgMar w:top="2948" w:right="2494" w:bottom="2948" w:left="2494" w:header="2381" w:footer="23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08369" w14:textId="77777777" w:rsidR="001C1D22" w:rsidRPr="00AF6776" w:rsidRDefault="001C1D22">
      <w:r w:rsidRPr="00AF6776">
        <w:separator/>
      </w:r>
    </w:p>
  </w:endnote>
  <w:endnote w:type="continuationSeparator" w:id="0">
    <w:p w14:paraId="224A0A62" w14:textId="77777777" w:rsidR="001C1D22" w:rsidRPr="00AF6776" w:rsidRDefault="001C1D22">
      <w:r w:rsidRPr="00AF677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BC5A659-E00D-4DC8-9E34-3A87D4F8F717}"/>
  </w:font>
  <w:font w:name="Consolas">
    <w:panose1 w:val="020B0609020204030204"/>
    <w:charset w:val="00"/>
    <w:family w:val="modern"/>
    <w:pitch w:val="fixed"/>
    <w:sig w:usb0="E00006FF" w:usb1="0000FCFF" w:usb2="00000001" w:usb3="00000000" w:csb0="0000019F" w:csb1="00000000"/>
    <w:embedRegular r:id="rId2" w:fontKey="{4B70BF03-9D9E-4BC7-AC41-9C06177AA2A8}"/>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3" w:fontKey="{3D86366A-6DFC-49DE-9DBF-B3946E6FE9CC}"/>
  </w:font>
  <w:font w:name="Cambria">
    <w:panose1 w:val="02040503050406030204"/>
    <w:charset w:val="00"/>
    <w:family w:val="roman"/>
    <w:pitch w:val="variable"/>
    <w:sig w:usb0="E00006FF" w:usb1="420024FF" w:usb2="02000000" w:usb3="00000000" w:csb0="0000019F" w:csb1="00000000"/>
    <w:embedRegular r:id="rId4" w:fontKey="{9515EA4A-60AD-4F19-B28F-934575327E9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38295" w14:textId="77777777" w:rsidR="001C1D22" w:rsidRPr="00AF6776" w:rsidRDefault="001C1D22">
      <w:r w:rsidRPr="00AF6776">
        <w:separator/>
      </w:r>
    </w:p>
  </w:footnote>
  <w:footnote w:type="continuationSeparator" w:id="0">
    <w:p w14:paraId="22CC3B34" w14:textId="77777777" w:rsidR="001C1D22" w:rsidRPr="00AF6776" w:rsidRDefault="001C1D22">
      <w:r w:rsidRPr="00AF677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BA3DE" w14:textId="77777777" w:rsidR="00C30177" w:rsidRPr="00AF6776" w:rsidRDefault="00C30177">
    <w:pPr>
      <w:pBdr>
        <w:top w:val="nil"/>
        <w:left w:val="nil"/>
        <w:bottom w:val="nil"/>
        <w:right w:val="nil"/>
        <w:between w:val="nil"/>
      </w:pBdr>
      <w:tabs>
        <w:tab w:val="left" w:pos="680"/>
      </w:tabs>
      <w:ind w:firstLine="0"/>
      <w:jc w:val="left"/>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2BCF1" w14:textId="77777777" w:rsidR="00C30177" w:rsidRPr="00AF6776" w:rsidRDefault="00C30177">
    <w:pPr>
      <w:pBdr>
        <w:top w:val="nil"/>
        <w:left w:val="nil"/>
        <w:bottom w:val="nil"/>
        <w:right w:val="nil"/>
        <w:between w:val="nil"/>
      </w:pBdr>
      <w:tabs>
        <w:tab w:val="right" w:pos="6237"/>
        <w:tab w:val="right" w:pos="6917"/>
      </w:tabs>
      <w:ind w:firstLine="0"/>
      <w:jc w:val="left"/>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89C18" w14:textId="77777777" w:rsidR="00C30177" w:rsidRPr="00AF6776" w:rsidRDefault="00C30177">
    <w:pPr>
      <w:pBdr>
        <w:top w:val="nil"/>
        <w:left w:val="nil"/>
        <w:bottom w:val="nil"/>
        <w:right w:val="nil"/>
        <w:between w:val="nil"/>
      </w:pBdr>
      <w:tabs>
        <w:tab w:val="center" w:pos="4536"/>
        <w:tab w:val="right" w:pos="9072"/>
      </w:tabs>
      <w:ind w:firstLine="0"/>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524E1"/>
    <w:multiLevelType w:val="multilevel"/>
    <w:tmpl w:val="F182A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40C1F"/>
    <w:multiLevelType w:val="multilevel"/>
    <w:tmpl w:val="834EB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C77C1E"/>
    <w:multiLevelType w:val="multilevel"/>
    <w:tmpl w:val="CA2C7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991BB1"/>
    <w:multiLevelType w:val="multilevel"/>
    <w:tmpl w:val="316EB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4F056F"/>
    <w:multiLevelType w:val="multilevel"/>
    <w:tmpl w:val="1728BBEC"/>
    <w:lvl w:ilvl="0">
      <w:start w:val="1"/>
      <w:numFmt w:val="decimal"/>
      <w:lvlText w:val="%1"/>
      <w:lvlJc w:val="left"/>
      <w:pPr>
        <w:ind w:left="567" w:hanging="567"/>
      </w:pPr>
    </w:lvl>
    <w:lvl w:ilvl="1">
      <w:start w:val="1"/>
      <w:numFmt w:val="decimal"/>
      <w:lvlText w:val="%1.%2"/>
      <w:lvlJc w:val="left"/>
      <w:pPr>
        <w:ind w:left="567" w:hanging="567"/>
      </w:pPr>
    </w:lvl>
    <w:lvl w:ilvl="2">
      <w:start w:val="1"/>
      <w:numFmt w:val="decimal"/>
      <w:lvlText w:val="%1.%2.%3"/>
      <w:lvlJc w:val="left"/>
      <w:pPr>
        <w:ind w:left="851" w:hanging="851"/>
      </w:pPr>
    </w:lvl>
    <w:lvl w:ilvl="3">
      <w:start w:val="1"/>
      <w:numFmt w:val="decimal"/>
      <w:lvlText w:val="%1.%2.%3.%4"/>
      <w:lvlJc w:val="left"/>
      <w:pPr>
        <w:ind w:left="851" w:hanging="851"/>
      </w:pPr>
    </w:lvl>
    <w:lvl w:ilvl="4">
      <w:start w:val="1"/>
      <w:numFmt w:val="decimal"/>
      <w:lvlText w:val="%1.%2.%3.%4.%5"/>
      <w:lvlJc w:val="left"/>
      <w:pPr>
        <w:ind w:left="964" w:hanging="964"/>
      </w:pPr>
      <w:rPr>
        <w:rFonts w:ascii="Times New Roman" w:eastAsia="Times New Roman" w:hAnsi="Times New Roman" w:cs="Times New Roman"/>
        <w:b w:val="0"/>
        <w:bCs w:val="0"/>
        <w:i/>
        <w:iCs/>
        <w:sz w:val="20"/>
        <w:szCs w:val="2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D875C71"/>
    <w:multiLevelType w:val="multilevel"/>
    <w:tmpl w:val="624EB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365E4E"/>
    <w:multiLevelType w:val="multilevel"/>
    <w:tmpl w:val="56D21D14"/>
    <w:lvl w:ilvl="0">
      <w:start w:val="1"/>
      <w:numFmt w:val="decimal"/>
      <w:lvlText w:val="%1."/>
      <w:lvlJc w:val="right"/>
      <w:pPr>
        <w:ind w:left="341" w:hanging="113"/>
      </w:pPr>
    </w:lvl>
    <w:lvl w:ilvl="1">
      <w:start w:val="1"/>
      <w:numFmt w:val="lowerLetter"/>
      <w:lvlText w:val="%2."/>
      <w:lvlJc w:val="left"/>
      <w:pPr>
        <w:ind w:left="1896" w:hanging="360"/>
      </w:pPr>
    </w:lvl>
    <w:lvl w:ilvl="2">
      <w:start w:val="1"/>
      <w:numFmt w:val="lowerRoman"/>
      <w:lvlText w:val="%3."/>
      <w:lvlJc w:val="right"/>
      <w:pPr>
        <w:ind w:left="2616" w:hanging="180"/>
      </w:pPr>
    </w:lvl>
    <w:lvl w:ilvl="3">
      <w:start w:val="1"/>
      <w:numFmt w:val="decimal"/>
      <w:lvlText w:val="%4."/>
      <w:lvlJc w:val="left"/>
      <w:pPr>
        <w:ind w:left="3336" w:hanging="360"/>
      </w:pPr>
    </w:lvl>
    <w:lvl w:ilvl="4">
      <w:start w:val="1"/>
      <w:numFmt w:val="lowerLetter"/>
      <w:lvlText w:val="%5."/>
      <w:lvlJc w:val="left"/>
      <w:pPr>
        <w:ind w:left="4056" w:hanging="360"/>
      </w:pPr>
    </w:lvl>
    <w:lvl w:ilvl="5">
      <w:start w:val="1"/>
      <w:numFmt w:val="lowerRoman"/>
      <w:lvlText w:val="%6."/>
      <w:lvlJc w:val="right"/>
      <w:pPr>
        <w:ind w:left="4776" w:hanging="180"/>
      </w:pPr>
    </w:lvl>
    <w:lvl w:ilvl="6">
      <w:start w:val="1"/>
      <w:numFmt w:val="decimal"/>
      <w:lvlText w:val="%7."/>
      <w:lvlJc w:val="left"/>
      <w:pPr>
        <w:ind w:left="5496" w:hanging="360"/>
      </w:pPr>
    </w:lvl>
    <w:lvl w:ilvl="7">
      <w:start w:val="1"/>
      <w:numFmt w:val="lowerLetter"/>
      <w:lvlText w:val="%8."/>
      <w:lvlJc w:val="left"/>
      <w:pPr>
        <w:ind w:left="6216" w:hanging="360"/>
      </w:pPr>
    </w:lvl>
    <w:lvl w:ilvl="8">
      <w:start w:val="1"/>
      <w:numFmt w:val="lowerRoman"/>
      <w:lvlText w:val="%9."/>
      <w:lvlJc w:val="right"/>
      <w:pPr>
        <w:ind w:left="6936" w:hanging="180"/>
      </w:pPr>
    </w:lvl>
  </w:abstractNum>
  <w:abstractNum w:abstractNumId="7" w15:restartNumberingAfterBreak="0">
    <w:nsid w:val="430D1505"/>
    <w:multiLevelType w:val="multilevel"/>
    <w:tmpl w:val="0716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4C769C"/>
    <w:multiLevelType w:val="multilevel"/>
    <w:tmpl w:val="0E401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505F4E"/>
    <w:multiLevelType w:val="multilevel"/>
    <w:tmpl w:val="129AD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671E02"/>
    <w:multiLevelType w:val="multilevel"/>
    <w:tmpl w:val="C964B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484BC3"/>
    <w:multiLevelType w:val="multilevel"/>
    <w:tmpl w:val="77A8D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BB5F9C"/>
    <w:multiLevelType w:val="multilevel"/>
    <w:tmpl w:val="5B0E9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326365"/>
    <w:multiLevelType w:val="multilevel"/>
    <w:tmpl w:val="E9FA9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782997"/>
    <w:multiLevelType w:val="multilevel"/>
    <w:tmpl w:val="9E98A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9665AE"/>
    <w:multiLevelType w:val="multilevel"/>
    <w:tmpl w:val="2298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B26D93"/>
    <w:multiLevelType w:val="multilevel"/>
    <w:tmpl w:val="BDB8E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350855"/>
    <w:multiLevelType w:val="multilevel"/>
    <w:tmpl w:val="9118B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BC1523"/>
    <w:multiLevelType w:val="multilevel"/>
    <w:tmpl w:val="05665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533492"/>
    <w:multiLevelType w:val="multilevel"/>
    <w:tmpl w:val="F8F2E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9707623">
    <w:abstractNumId w:val="4"/>
  </w:num>
  <w:num w:numId="2" w16cid:durableId="1747150431">
    <w:abstractNumId w:val="6"/>
  </w:num>
  <w:num w:numId="3" w16cid:durableId="1923832634">
    <w:abstractNumId w:val="12"/>
  </w:num>
  <w:num w:numId="4" w16cid:durableId="359360543">
    <w:abstractNumId w:val="9"/>
  </w:num>
  <w:num w:numId="5" w16cid:durableId="1962757908">
    <w:abstractNumId w:val="13"/>
  </w:num>
  <w:num w:numId="6" w16cid:durableId="704913523">
    <w:abstractNumId w:val="17"/>
  </w:num>
  <w:num w:numId="7" w16cid:durableId="563487548">
    <w:abstractNumId w:val="7"/>
  </w:num>
  <w:num w:numId="8" w16cid:durableId="1932930409">
    <w:abstractNumId w:val="1"/>
  </w:num>
  <w:num w:numId="9" w16cid:durableId="1973512648">
    <w:abstractNumId w:val="14"/>
  </w:num>
  <w:num w:numId="10" w16cid:durableId="1370759023">
    <w:abstractNumId w:val="16"/>
  </w:num>
  <w:num w:numId="11" w16cid:durableId="732506467">
    <w:abstractNumId w:val="5"/>
  </w:num>
  <w:num w:numId="12" w16cid:durableId="1998727781">
    <w:abstractNumId w:val="2"/>
  </w:num>
  <w:num w:numId="13" w16cid:durableId="640113427">
    <w:abstractNumId w:val="19"/>
  </w:num>
  <w:num w:numId="14" w16cid:durableId="1945649410">
    <w:abstractNumId w:val="10"/>
  </w:num>
  <w:num w:numId="15" w16cid:durableId="670451187">
    <w:abstractNumId w:val="8"/>
  </w:num>
  <w:num w:numId="16" w16cid:durableId="1332293678">
    <w:abstractNumId w:val="3"/>
  </w:num>
  <w:num w:numId="17" w16cid:durableId="2021545898">
    <w:abstractNumId w:val="18"/>
  </w:num>
  <w:num w:numId="18" w16cid:durableId="347218916">
    <w:abstractNumId w:val="11"/>
  </w:num>
  <w:num w:numId="19" w16cid:durableId="394162996">
    <w:abstractNumId w:val="0"/>
  </w:num>
  <w:num w:numId="20" w16cid:durableId="7949539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177"/>
    <w:rsid w:val="00001E30"/>
    <w:rsid w:val="00015D66"/>
    <w:rsid w:val="00024BE8"/>
    <w:rsid w:val="00057912"/>
    <w:rsid w:val="00084B34"/>
    <w:rsid w:val="00090DE2"/>
    <w:rsid w:val="000917E7"/>
    <w:rsid w:val="000A10EE"/>
    <w:rsid w:val="000C38EE"/>
    <w:rsid w:val="000C46B8"/>
    <w:rsid w:val="000D051D"/>
    <w:rsid w:val="001346CA"/>
    <w:rsid w:val="00142CBF"/>
    <w:rsid w:val="00146901"/>
    <w:rsid w:val="00161CAA"/>
    <w:rsid w:val="001626D9"/>
    <w:rsid w:val="00172477"/>
    <w:rsid w:val="001754DF"/>
    <w:rsid w:val="00182AFB"/>
    <w:rsid w:val="001C1D22"/>
    <w:rsid w:val="002037BC"/>
    <w:rsid w:val="002603A1"/>
    <w:rsid w:val="002724DE"/>
    <w:rsid w:val="002E2619"/>
    <w:rsid w:val="002E3C12"/>
    <w:rsid w:val="002F43B6"/>
    <w:rsid w:val="00320378"/>
    <w:rsid w:val="003216A4"/>
    <w:rsid w:val="0033010F"/>
    <w:rsid w:val="00335062"/>
    <w:rsid w:val="00340BD5"/>
    <w:rsid w:val="003547FE"/>
    <w:rsid w:val="00390B3D"/>
    <w:rsid w:val="00393E47"/>
    <w:rsid w:val="003A7BDE"/>
    <w:rsid w:val="003B36C2"/>
    <w:rsid w:val="003B6C08"/>
    <w:rsid w:val="003C71CF"/>
    <w:rsid w:val="003D18B6"/>
    <w:rsid w:val="003D20C8"/>
    <w:rsid w:val="003F7D44"/>
    <w:rsid w:val="00406A60"/>
    <w:rsid w:val="004073A9"/>
    <w:rsid w:val="00411F5A"/>
    <w:rsid w:val="00464EFD"/>
    <w:rsid w:val="00483089"/>
    <w:rsid w:val="00484639"/>
    <w:rsid w:val="0049415A"/>
    <w:rsid w:val="004A35A9"/>
    <w:rsid w:val="004B4AF7"/>
    <w:rsid w:val="004D1233"/>
    <w:rsid w:val="004E1E44"/>
    <w:rsid w:val="004E5E20"/>
    <w:rsid w:val="00520F68"/>
    <w:rsid w:val="00532D9B"/>
    <w:rsid w:val="00571C05"/>
    <w:rsid w:val="00586A71"/>
    <w:rsid w:val="005F07A1"/>
    <w:rsid w:val="005F6508"/>
    <w:rsid w:val="00613BEF"/>
    <w:rsid w:val="00633F9B"/>
    <w:rsid w:val="00670A3B"/>
    <w:rsid w:val="006805C4"/>
    <w:rsid w:val="006D0D94"/>
    <w:rsid w:val="006D3088"/>
    <w:rsid w:val="006E6ACD"/>
    <w:rsid w:val="006E7B76"/>
    <w:rsid w:val="006F57DE"/>
    <w:rsid w:val="00704357"/>
    <w:rsid w:val="00733158"/>
    <w:rsid w:val="00742A16"/>
    <w:rsid w:val="00751D05"/>
    <w:rsid w:val="00760407"/>
    <w:rsid w:val="00761984"/>
    <w:rsid w:val="007709BA"/>
    <w:rsid w:val="007734A8"/>
    <w:rsid w:val="00775027"/>
    <w:rsid w:val="007920F6"/>
    <w:rsid w:val="007E44CC"/>
    <w:rsid w:val="00806DA2"/>
    <w:rsid w:val="00824FB7"/>
    <w:rsid w:val="008372F4"/>
    <w:rsid w:val="008521DF"/>
    <w:rsid w:val="008567FB"/>
    <w:rsid w:val="008A3843"/>
    <w:rsid w:val="008C5030"/>
    <w:rsid w:val="008F5ABE"/>
    <w:rsid w:val="00913DD5"/>
    <w:rsid w:val="00916C4E"/>
    <w:rsid w:val="00920B02"/>
    <w:rsid w:val="00936547"/>
    <w:rsid w:val="009376A7"/>
    <w:rsid w:val="009423E1"/>
    <w:rsid w:val="00952DA4"/>
    <w:rsid w:val="00990B04"/>
    <w:rsid w:val="00995EC2"/>
    <w:rsid w:val="009A3126"/>
    <w:rsid w:val="009A6F2D"/>
    <w:rsid w:val="009B5716"/>
    <w:rsid w:val="009B7A18"/>
    <w:rsid w:val="009D43C7"/>
    <w:rsid w:val="009E4AC4"/>
    <w:rsid w:val="009F5DFB"/>
    <w:rsid w:val="00A03B94"/>
    <w:rsid w:val="00A263CA"/>
    <w:rsid w:val="00A57C1F"/>
    <w:rsid w:val="00A83033"/>
    <w:rsid w:val="00A842C2"/>
    <w:rsid w:val="00AB2FA8"/>
    <w:rsid w:val="00AB68E0"/>
    <w:rsid w:val="00AD61B8"/>
    <w:rsid w:val="00AE03E8"/>
    <w:rsid w:val="00AE1996"/>
    <w:rsid w:val="00AF6776"/>
    <w:rsid w:val="00B17104"/>
    <w:rsid w:val="00B23BBF"/>
    <w:rsid w:val="00B63392"/>
    <w:rsid w:val="00B727AE"/>
    <w:rsid w:val="00BA17FA"/>
    <w:rsid w:val="00BB0132"/>
    <w:rsid w:val="00BE625A"/>
    <w:rsid w:val="00C0487E"/>
    <w:rsid w:val="00C251CD"/>
    <w:rsid w:val="00C30177"/>
    <w:rsid w:val="00C4111D"/>
    <w:rsid w:val="00C45FD2"/>
    <w:rsid w:val="00C57BCB"/>
    <w:rsid w:val="00C93D38"/>
    <w:rsid w:val="00CA2A63"/>
    <w:rsid w:val="00CF0FF4"/>
    <w:rsid w:val="00CF28E3"/>
    <w:rsid w:val="00D14C51"/>
    <w:rsid w:val="00D20CB2"/>
    <w:rsid w:val="00D54D0B"/>
    <w:rsid w:val="00D73E47"/>
    <w:rsid w:val="00D812CC"/>
    <w:rsid w:val="00D902AC"/>
    <w:rsid w:val="00D92581"/>
    <w:rsid w:val="00DA0079"/>
    <w:rsid w:val="00DC1768"/>
    <w:rsid w:val="00DE1217"/>
    <w:rsid w:val="00E040D9"/>
    <w:rsid w:val="00E07110"/>
    <w:rsid w:val="00E0787A"/>
    <w:rsid w:val="00E178F7"/>
    <w:rsid w:val="00E228C3"/>
    <w:rsid w:val="00E67CE0"/>
    <w:rsid w:val="00E85757"/>
    <w:rsid w:val="00EA06F5"/>
    <w:rsid w:val="00EB0DA3"/>
    <w:rsid w:val="00EB3D89"/>
    <w:rsid w:val="00EC5393"/>
    <w:rsid w:val="00ED1D69"/>
    <w:rsid w:val="00EE2F3C"/>
    <w:rsid w:val="00EF2824"/>
    <w:rsid w:val="00F6370A"/>
    <w:rsid w:val="00F6769C"/>
    <w:rsid w:val="00F938E0"/>
    <w:rsid w:val="00FD2917"/>
    <w:rsid w:val="00FF0DAD"/>
    <w:rsid w:val="00FF1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F7270"/>
  <w15:docId w15:val="{834BE951-45C2-40D9-A744-52126D0C8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 w:eastAsia="en-US" w:bidi="ar-SA"/>
      </w:rPr>
    </w:rPrDefault>
    <w:pPrDefault>
      <w:pPr>
        <w:ind w:firstLine="22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uiPriority w:val="9"/>
    <w:qFormat/>
    <w:pPr>
      <w:keepNext/>
      <w:keepLines/>
      <w:spacing w:before="360" w:after="240"/>
      <w:ind w:left="567" w:hanging="567"/>
      <w:jc w:val="left"/>
      <w:outlineLvl w:val="0"/>
    </w:pPr>
    <w:rPr>
      <w:b/>
      <w:bCs/>
      <w:sz w:val="24"/>
      <w:szCs w:val="24"/>
    </w:rPr>
  </w:style>
  <w:style w:type="paragraph" w:styleId="Heading2">
    <w:name w:val="heading 2"/>
    <w:basedOn w:val="Normal"/>
    <w:next w:val="Normal"/>
    <w:uiPriority w:val="9"/>
    <w:semiHidden/>
    <w:unhideWhenUsed/>
    <w:qFormat/>
    <w:pPr>
      <w:keepNext/>
      <w:keepLines/>
      <w:spacing w:before="360" w:after="160"/>
      <w:ind w:left="567" w:hanging="567"/>
      <w:jc w:val="left"/>
      <w:outlineLvl w:val="1"/>
    </w:pPr>
    <w:rPr>
      <w:b/>
      <w:bCs/>
    </w:rPr>
  </w:style>
  <w:style w:type="paragraph" w:styleId="Heading3">
    <w:name w:val="heading 3"/>
    <w:basedOn w:val="Normal"/>
    <w:next w:val="Normal"/>
    <w:uiPriority w:val="9"/>
    <w:semiHidden/>
    <w:unhideWhenUsed/>
    <w:qFormat/>
    <w:pPr>
      <w:spacing w:before="360"/>
      <w:ind w:firstLine="0"/>
      <w:outlineLvl w:val="2"/>
    </w:pPr>
  </w:style>
  <w:style w:type="paragraph" w:styleId="Heading4">
    <w:name w:val="heading 4"/>
    <w:basedOn w:val="Normal"/>
    <w:next w:val="Normal"/>
    <w:uiPriority w:val="9"/>
    <w:semiHidden/>
    <w:unhideWhenUsed/>
    <w:qFormat/>
    <w:pPr>
      <w:spacing w:before="240"/>
      <w:ind w:firstLine="0"/>
      <w:outlineLvl w:val="3"/>
    </w:p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TMLPreformatted">
    <w:name w:val="HTML Preformatted"/>
    <w:basedOn w:val="Normal"/>
    <w:link w:val="HTMLPreformattedChar"/>
    <w:uiPriority w:val="99"/>
    <w:semiHidden/>
    <w:unhideWhenUsed/>
    <w:rsid w:val="00EF2824"/>
    <w:rPr>
      <w:rFonts w:ascii="Consolas" w:hAnsi="Consolas"/>
    </w:rPr>
  </w:style>
  <w:style w:type="character" w:customStyle="1" w:styleId="HTMLPreformattedChar">
    <w:name w:val="HTML Preformatted Char"/>
    <w:basedOn w:val="DefaultParagraphFont"/>
    <w:link w:val="HTMLPreformatted"/>
    <w:uiPriority w:val="99"/>
    <w:semiHidden/>
    <w:rsid w:val="00EF2824"/>
    <w:rPr>
      <w:rFonts w:ascii="Consolas" w:hAnsi="Consolas"/>
    </w:rPr>
  </w:style>
  <w:style w:type="paragraph" w:styleId="Footer">
    <w:name w:val="footer"/>
    <w:basedOn w:val="Normal"/>
    <w:link w:val="FooterChar"/>
    <w:uiPriority w:val="99"/>
    <w:unhideWhenUsed/>
    <w:rsid w:val="00D902AC"/>
    <w:pPr>
      <w:tabs>
        <w:tab w:val="center" w:pos="4680"/>
        <w:tab w:val="right" w:pos="9360"/>
      </w:tabs>
    </w:pPr>
  </w:style>
  <w:style w:type="character" w:customStyle="1" w:styleId="FooterChar">
    <w:name w:val="Footer Char"/>
    <w:basedOn w:val="DefaultParagraphFont"/>
    <w:link w:val="Footer"/>
    <w:uiPriority w:val="99"/>
    <w:rsid w:val="00D902AC"/>
    <w:rPr>
      <w:noProof/>
      <w:lang w:val="vi-VN"/>
    </w:rPr>
  </w:style>
  <w:style w:type="character" w:styleId="Hyperlink">
    <w:name w:val="Hyperlink"/>
    <w:basedOn w:val="DefaultParagraphFont"/>
    <w:uiPriority w:val="99"/>
    <w:unhideWhenUsed/>
    <w:rsid w:val="00B63392"/>
    <w:rPr>
      <w:color w:val="0000FF" w:themeColor="hyperlink"/>
      <w:u w:val="single"/>
    </w:rPr>
  </w:style>
  <w:style w:type="character" w:styleId="UnresolvedMention">
    <w:name w:val="Unresolved Mention"/>
    <w:basedOn w:val="DefaultParagraphFont"/>
    <w:uiPriority w:val="99"/>
    <w:semiHidden/>
    <w:unhideWhenUsed/>
    <w:rsid w:val="00B63392"/>
    <w:rPr>
      <w:color w:val="605E5C"/>
      <w:shd w:val="clear" w:color="auto" w:fill="E1DFDD"/>
    </w:rPr>
  </w:style>
  <w:style w:type="paragraph" w:styleId="ListParagraph">
    <w:name w:val="List Paragraph"/>
    <w:basedOn w:val="Normal"/>
    <w:uiPriority w:val="34"/>
    <w:qFormat/>
    <w:rsid w:val="00B63392"/>
    <w:pPr>
      <w:ind w:left="720"/>
      <w:contextualSpacing/>
    </w:pPr>
  </w:style>
  <w:style w:type="paragraph" w:styleId="NormalWeb">
    <w:name w:val="Normal (Web)"/>
    <w:basedOn w:val="Normal"/>
    <w:uiPriority w:val="99"/>
    <w:semiHidden/>
    <w:unhideWhenUsed/>
    <w:rsid w:val="00B23BBF"/>
    <w:rPr>
      <w:sz w:val="24"/>
      <w:szCs w:val="24"/>
    </w:rPr>
  </w:style>
  <w:style w:type="character" w:styleId="FollowedHyperlink">
    <w:name w:val="FollowedHyperlink"/>
    <w:basedOn w:val="DefaultParagraphFont"/>
    <w:uiPriority w:val="99"/>
    <w:semiHidden/>
    <w:unhideWhenUsed/>
    <w:rsid w:val="00D20CB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1512.03385" TargetMode="External"/><Relationship Id="rId13" Type="http://schemas.openxmlformats.org/officeDocument/2006/relationships/hyperlink" Target="https://doi.org/10.1016/j.patrec.2020.02.017"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oi.org/10.1145/3065386" TargetMode="External"/><Relationship Id="rId12" Type="http://schemas.openxmlformats.org/officeDocument/2006/relationships/hyperlink" Target="https://doi.org/10.1109/ICCV.2011.6126544"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i.org/10.1109/ACCESS.2019.294155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23/B:VISI.0000029664.99615.94" TargetMode="External"/><Relationship Id="rId5" Type="http://schemas.openxmlformats.org/officeDocument/2006/relationships/footnotes" Target="footnotes.xml"/><Relationship Id="rId15" Type="http://schemas.openxmlformats.org/officeDocument/2006/relationships/hyperlink" Target="https://doi.org/10.3390/heritage4030105" TargetMode="External"/><Relationship Id="rId10" Type="http://schemas.openxmlformats.org/officeDocument/2006/relationships/hyperlink" Target="https://doi.org/10.1109/TPAMI.2016.2646371"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arxiv.org/abs/2009.09941" TargetMode="External"/><Relationship Id="rId14" Type="http://schemas.openxmlformats.org/officeDocument/2006/relationships/hyperlink" Target="https://doi.org/10.1016/j.culher.2021.01.01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5</Pages>
  <Words>2025</Words>
  <Characters>11544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VAN-Tho</dc:creator>
  <cp:keywords/>
  <cp:lastModifiedBy>xua truong</cp:lastModifiedBy>
  <cp:revision>23</cp:revision>
  <dcterms:created xsi:type="dcterms:W3CDTF">2026-04-27T11:25:00Z</dcterms:created>
  <dcterms:modified xsi:type="dcterms:W3CDTF">2026-05-05T07:24:00Z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DB083ECA51534689B9811C79C2B97E08_12</vt:lpwstr>
  </property>
</Properties>
</file>