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7A" w:rsidRPr="003D04B9" w:rsidRDefault="0031587A">
      <w:pPr>
        <w:jc w:val="center"/>
        <w:rPr>
          <w:rFonts w:ascii="黑体" w:eastAsia="黑体"/>
          <w:b/>
          <w:kern w:val="0"/>
          <w:sz w:val="48"/>
          <w:szCs w:val="48"/>
        </w:rPr>
      </w:pPr>
    </w:p>
    <w:p w:rsidR="0031587A" w:rsidRPr="003D04B9" w:rsidRDefault="00FC4626">
      <w:pPr>
        <w:jc w:val="center"/>
        <w:rPr>
          <w:rFonts w:ascii="华文行楷" w:eastAsia="华文行楷"/>
          <w:color w:val="000000"/>
          <w:kern w:val="0"/>
          <w:szCs w:val="21"/>
        </w:rPr>
      </w:pPr>
      <w:r w:rsidRPr="003D04B9"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>
            <wp:extent cx="4061460" cy="1066800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7A" w:rsidRPr="003D04B9" w:rsidRDefault="0031587A">
      <w:pPr>
        <w:jc w:val="center"/>
        <w:rPr>
          <w:rFonts w:ascii="华文行楷" w:eastAsia="华文行楷"/>
          <w:kern w:val="0"/>
          <w:sz w:val="24"/>
        </w:rPr>
      </w:pPr>
    </w:p>
    <w:p w:rsidR="0031587A" w:rsidRPr="003D04B9" w:rsidRDefault="00FC4626">
      <w:pPr>
        <w:pStyle w:val="a3"/>
        <w:rPr>
          <w:b w:val="0"/>
          <w:color w:val="000000"/>
          <w:kern w:val="0"/>
          <w:sz w:val="96"/>
          <w:szCs w:val="96"/>
        </w:rPr>
      </w:pPr>
      <w:r w:rsidRPr="003D04B9">
        <w:rPr>
          <w:rFonts w:hint="eastAsia"/>
          <w:b w:val="0"/>
          <w:color w:val="000000"/>
          <w:spacing w:val="8"/>
          <w:w w:val="71"/>
          <w:kern w:val="0"/>
          <w:sz w:val="96"/>
          <w:szCs w:val="96"/>
        </w:rPr>
        <w:t>本科毕业设计(论文)任务</w:t>
      </w:r>
      <w:r w:rsidRPr="003D04B9">
        <w:rPr>
          <w:rFonts w:hint="eastAsia"/>
          <w:b w:val="0"/>
          <w:color w:val="000000"/>
          <w:spacing w:val="2"/>
          <w:w w:val="71"/>
          <w:kern w:val="0"/>
          <w:sz w:val="96"/>
          <w:szCs w:val="96"/>
        </w:rPr>
        <w:t>书</w:t>
      </w: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tbl>
      <w:tblPr>
        <w:tblW w:w="6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4658"/>
      </w:tblGrid>
      <w:tr w:rsidR="0031587A" w:rsidRPr="003D04B9">
        <w:trPr>
          <w:trHeight w:val="1340"/>
          <w:jc w:val="center"/>
        </w:trPr>
        <w:tc>
          <w:tcPr>
            <w:tcW w:w="2022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题</w:t>
            </w:r>
            <w:r w:rsidRPr="003D04B9">
              <w:rPr>
                <w:rFonts w:ascii="黑体" w:eastAsia="黑体"/>
                <w:kern w:val="0"/>
                <w:sz w:val="36"/>
                <w:szCs w:val="36"/>
              </w:rPr>
              <w:t xml:space="preserve">    </w:t>
            </w: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目</w:t>
            </w:r>
          </w:p>
        </w:tc>
        <w:tc>
          <w:tcPr>
            <w:tcW w:w="4658" w:type="dxa"/>
            <w:vAlign w:val="center"/>
          </w:tcPr>
          <w:p w:rsidR="0031587A" w:rsidRPr="003D04B9" w:rsidRDefault="002A2073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r w:rsidRPr="003D04B9"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基于共享电单车的静态充电桩优化部署研究</w:t>
            </w:r>
          </w:p>
        </w:tc>
      </w:tr>
      <w:tr w:rsidR="0031587A" w:rsidRPr="003D04B9">
        <w:trPr>
          <w:trHeight w:val="740"/>
          <w:jc w:val="center"/>
        </w:trPr>
        <w:tc>
          <w:tcPr>
            <w:tcW w:w="2022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学生姓名</w:t>
            </w:r>
          </w:p>
        </w:tc>
        <w:tc>
          <w:tcPr>
            <w:tcW w:w="4658" w:type="dxa"/>
            <w:vAlign w:val="center"/>
          </w:tcPr>
          <w:p w:rsidR="0031587A" w:rsidRPr="003D04B9" w:rsidRDefault="0031587A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</w:p>
        </w:tc>
      </w:tr>
      <w:tr w:rsidR="0031587A" w:rsidRPr="003D04B9">
        <w:trPr>
          <w:trHeight w:val="740"/>
          <w:jc w:val="center"/>
        </w:trPr>
        <w:tc>
          <w:tcPr>
            <w:tcW w:w="2022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指导教师</w:t>
            </w:r>
          </w:p>
        </w:tc>
        <w:tc>
          <w:tcPr>
            <w:tcW w:w="4658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r w:rsidRPr="003D04B9"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钟萍</w:t>
            </w:r>
          </w:p>
        </w:tc>
      </w:tr>
      <w:tr w:rsidR="0031587A" w:rsidRPr="003D04B9">
        <w:trPr>
          <w:trHeight w:val="740"/>
          <w:jc w:val="center"/>
        </w:trPr>
        <w:tc>
          <w:tcPr>
            <w:tcW w:w="2022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学</w:t>
            </w:r>
            <w:r w:rsidRPr="003D04B9">
              <w:rPr>
                <w:rFonts w:ascii="黑体" w:eastAsia="黑体"/>
                <w:kern w:val="0"/>
                <w:sz w:val="36"/>
                <w:szCs w:val="36"/>
              </w:rPr>
              <w:t xml:space="preserve">    </w:t>
            </w: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院</w:t>
            </w:r>
          </w:p>
        </w:tc>
        <w:tc>
          <w:tcPr>
            <w:tcW w:w="4658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  <w:r w:rsidRPr="003D04B9">
              <w:rPr>
                <w:rFonts w:ascii="华文楷体" w:eastAsia="华文楷体" w:hAnsi="华文楷体" w:hint="eastAsia"/>
                <w:kern w:val="0"/>
                <w:sz w:val="36"/>
                <w:szCs w:val="36"/>
              </w:rPr>
              <w:t>信息科学与工程学院</w:t>
            </w:r>
          </w:p>
        </w:tc>
      </w:tr>
      <w:tr w:rsidR="0031587A" w:rsidRPr="003D04B9">
        <w:trPr>
          <w:trHeight w:val="750"/>
          <w:jc w:val="center"/>
        </w:trPr>
        <w:tc>
          <w:tcPr>
            <w:tcW w:w="2022" w:type="dxa"/>
            <w:vAlign w:val="center"/>
          </w:tcPr>
          <w:p w:rsidR="0031587A" w:rsidRPr="003D04B9" w:rsidRDefault="00FC462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 w:rsidRPr="003D04B9">
              <w:rPr>
                <w:rFonts w:ascii="黑体" w:eastAsia="黑体" w:hint="eastAsia"/>
                <w:kern w:val="0"/>
                <w:sz w:val="36"/>
                <w:szCs w:val="36"/>
              </w:rPr>
              <w:t>专业班级</w:t>
            </w:r>
          </w:p>
        </w:tc>
        <w:tc>
          <w:tcPr>
            <w:tcW w:w="4658" w:type="dxa"/>
            <w:vAlign w:val="center"/>
          </w:tcPr>
          <w:p w:rsidR="0031587A" w:rsidRPr="003D04B9" w:rsidRDefault="0031587A" w:rsidP="004529C2">
            <w:pPr>
              <w:adjustRightInd w:val="0"/>
              <w:snapToGrid w:val="0"/>
              <w:spacing w:line="400" w:lineRule="atLeast"/>
              <w:rPr>
                <w:rFonts w:ascii="华文楷体" w:eastAsia="华文楷体" w:hAnsi="华文楷体"/>
                <w:kern w:val="0"/>
                <w:sz w:val="36"/>
                <w:szCs w:val="36"/>
              </w:rPr>
            </w:pPr>
          </w:p>
        </w:tc>
      </w:tr>
    </w:tbl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31587A">
      <w:pPr>
        <w:spacing w:line="400" w:lineRule="exact"/>
        <w:rPr>
          <w:rFonts w:ascii="黑体" w:eastAsia="黑体"/>
          <w:b/>
          <w:kern w:val="0"/>
          <w:sz w:val="24"/>
        </w:rPr>
      </w:pPr>
    </w:p>
    <w:p w:rsidR="0031587A" w:rsidRPr="003D04B9" w:rsidRDefault="00FC4626">
      <w:pPr>
        <w:jc w:val="center"/>
        <w:rPr>
          <w:rFonts w:ascii="黑体" w:eastAsia="黑体"/>
          <w:kern w:val="0"/>
          <w:sz w:val="44"/>
          <w:szCs w:val="44"/>
        </w:rPr>
      </w:pPr>
      <w:r w:rsidRPr="003D04B9">
        <w:rPr>
          <w:rFonts w:ascii="黑体" w:eastAsia="黑体" w:hint="eastAsia"/>
          <w:kern w:val="0"/>
          <w:sz w:val="44"/>
          <w:szCs w:val="44"/>
        </w:rPr>
        <w:t>本科生院制</w:t>
      </w:r>
    </w:p>
    <w:p w:rsidR="0031587A" w:rsidRPr="003D04B9" w:rsidRDefault="00FC4626">
      <w:pPr>
        <w:jc w:val="center"/>
        <w:rPr>
          <w:rFonts w:ascii="黑体" w:eastAsia="黑体"/>
          <w:kern w:val="0"/>
          <w:sz w:val="24"/>
        </w:rPr>
      </w:pPr>
      <w:r w:rsidRPr="003D04B9">
        <w:rPr>
          <w:rFonts w:ascii="黑体" w:eastAsia="黑体" w:hint="eastAsia"/>
          <w:kern w:val="0"/>
          <w:sz w:val="36"/>
          <w:szCs w:val="36"/>
        </w:rPr>
        <w:t>20</w:t>
      </w:r>
      <w:r w:rsidR="003416B6" w:rsidRPr="003D04B9">
        <w:rPr>
          <w:rFonts w:ascii="黑体" w:eastAsia="黑体"/>
          <w:kern w:val="0"/>
          <w:sz w:val="36"/>
          <w:szCs w:val="36"/>
        </w:rPr>
        <w:t>1</w:t>
      </w:r>
      <w:r w:rsidR="002A2073" w:rsidRPr="003D04B9">
        <w:rPr>
          <w:rFonts w:ascii="黑体" w:eastAsia="黑体" w:hint="eastAsia"/>
          <w:kern w:val="0"/>
          <w:sz w:val="36"/>
          <w:szCs w:val="36"/>
        </w:rPr>
        <w:t>8</w:t>
      </w:r>
      <w:r w:rsidRPr="003D04B9">
        <w:rPr>
          <w:rFonts w:ascii="黑体" w:eastAsia="黑体" w:hint="eastAsia"/>
          <w:kern w:val="0"/>
          <w:sz w:val="36"/>
          <w:szCs w:val="36"/>
        </w:rPr>
        <w:t>年</w:t>
      </w:r>
      <w:r w:rsidRPr="003D04B9">
        <w:rPr>
          <w:rFonts w:ascii="黑体" w:eastAsia="黑体"/>
          <w:kern w:val="0"/>
          <w:sz w:val="36"/>
          <w:szCs w:val="36"/>
        </w:rPr>
        <w:t>12</w:t>
      </w:r>
      <w:r w:rsidRPr="003D04B9">
        <w:rPr>
          <w:rFonts w:ascii="黑体" w:eastAsia="黑体" w:hint="eastAsia"/>
          <w:kern w:val="0"/>
          <w:sz w:val="36"/>
          <w:szCs w:val="36"/>
        </w:rPr>
        <w:t>月</w:t>
      </w:r>
    </w:p>
    <w:p w:rsidR="0031587A" w:rsidRPr="003D04B9" w:rsidRDefault="0031587A">
      <w:pPr>
        <w:jc w:val="center"/>
        <w:rPr>
          <w:rFonts w:ascii="黑体" w:eastAsia="黑体"/>
          <w:kern w:val="0"/>
          <w:sz w:val="24"/>
        </w:rPr>
      </w:pPr>
    </w:p>
    <w:p w:rsidR="0031587A" w:rsidRPr="003D04B9" w:rsidRDefault="00FC4626">
      <w:pPr>
        <w:spacing w:line="560" w:lineRule="exact"/>
        <w:jc w:val="center"/>
        <w:rPr>
          <w:rFonts w:ascii="黑体" w:eastAsia="黑体" w:hAnsi="华文楷体"/>
          <w:kern w:val="0"/>
          <w:sz w:val="44"/>
          <w:szCs w:val="44"/>
        </w:rPr>
      </w:pPr>
      <w:r w:rsidRPr="003D04B9">
        <w:rPr>
          <w:rFonts w:ascii="黑体" w:eastAsia="黑体" w:hAnsi="华文楷体" w:hint="eastAsia"/>
          <w:kern w:val="0"/>
          <w:sz w:val="44"/>
          <w:szCs w:val="44"/>
        </w:rPr>
        <w:lastRenderedPageBreak/>
        <w:br w:type="page"/>
      </w:r>
    </w:p>
    <w:p w:rsidR="0031587A" w:rsidRPr="003D04B9" w:rsidRDefault="00FC4626" w:rsidP="00C32364">
      <w:pPr>
        <w:spacing w:line="560" w:lineRule="exact"/>
        <w:jc w:val="center"/>
        <w:rPr>
          <w:rFonts w:ascii="黑体" w:eastAsia="黑体" w:hAnsi="华文楷体"/>
          <w:kern w:val="0"/>
          <w:sz w:val="44"/>
          <w:szCs w:val="44"/>
        </w:rPr>
      </w:pPr>
      <w:r w:rsidRPr="003D04B9">
        <w:rPr>
          <w:rFonts w:ascii="黑体" w:eastAsia="黑体" w:hAnsi="华文楷体" w:hint="eastAsia"/>
          <w:kern w:val="0"/>
          <w:sz w:val="44"/>
          <w:szCs w:val="44"/>
        </w:rPr>
        <w:lastRenderedPageBreak/>
        <w:t>中南大学本科毕业设计(论文)任务书</w:t>
      </w:r>
    </w:p>
    <w:p w:rsidR="0031587A" w:rsidRPr="003D04B9" w:rsidRDefault="0031587A">
      <w:pPr>
        <w:spacing w:line="540" w:lineRule="exact"/>
        <w:ind w:firstLineChars="200" w:firstLine="560"/>
        <w:rPr>
          <w:rFonts w:ascii="楷体_GB2312" w:eastAsia="楷体_GB2312" w:hAnsi="华文楷体"/>
          <w:kern w:val="0"/>
          <w:sz w:val="28"/>
          <w:szCs w:val="28"/>
        </w:rPr>
      </w:pPr>
    </w:p>
    <w:p w:rsidR="0031587A" w:rsidRPr="003D04B9" w:rsidRDefault="00FC4626">
      <w:pPr>
        <w:spacing w:line="560" w:lineRule="exact"/>
        <w:rPr>
          <w:rFonts w:ascii="黑体" w:eastAsia="黑体" w:hAnsi="华文楷体"/>
          <w:kern w:val="0"/>
          <w:sz w:val="28"/>
          <w:szCs w:val="28"/>
        </w:rPr>
      </w:pPr>
      <w:r w:rsidRPr="003D04B9">
        <w:rPr>
          <w:rFonts w:ascii="黑体" w:eastAsia="黑体" w:hAnsi="华文楷体" w:hint="eastAsia"/>
          <w:kern w:val="0"/>
          <w:sz w:val="28"/>
          <w:szCs w:val="28"/>
        </w:rPr>
        <w:t>一、毕业设计(论文)内容要求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78"/>
        <w:gridCol w:w="1452"/>
        <w:gridCol w:w="2131"/>
        <w:gridCol w:w="2131"/>
      </w:tblGrid>
      <w:tr w:rsidR="0031587A" w:rsidRPr="003D04B9">
        <w:trPr>
          <w:jc w:val="center"/>
        </w:trPr>
        <w:tc>
          <w:tcPr>
            <w:tcW w:w="2130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华文楷体" w:eastAsia="华文楷体" w:hAnsi="华文楷体"/>
                <w:kern w:val="0"/>
                <w:sz w:val="24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设计(论文)题目</w:t>
            </w:r>
          </w:p>
        </w:tc>
        <w:tc>
          <w:tcPr>
            <w:tcW w:w="6392" w:type="dxa"/>
            <w:gridSpan w:val="4"/>
            <w:vAlign w:val="center"/>
          </w:tcPr>
          <w:p w:rsidR="0031587A" w:rsidRPr="003D04B9" w:rsidRDefault="00C00ECA">
            <w:pPr>
              <w:spacing w:line="560" w:lineRule="exact"/>
              <w:rPr>
                <w:rFonts w:ascii="宋体" w:hAnsi="宋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基于</w:t>
            </w:r>
            <w:r w:rsidR="009B24D9" w:rsidRPr="003D04B9">
              <w:rPr>
                <w:rFonts w:ascii="楷体_GB2312" w:eastAsia="楷体_GB2312" w:hAnsi="华文楷体" w:hint="eastAsia"/>
                <w:kern w:val="0"/>
                <w:sz w:val="24"/>
              </w:rPr>
              <w:t>共享电单车</w:t>
            </w:r>
            <w:r w:rsidR="002A2073" w:rsidRPr="003D04B9">
              <w:rPr>
                <w:rFonts w:ascii="楷体_GB2312" w:eastAsia="楷体_GB2312" w:hAnsi="华文楷体" w:hint="eastAsia"/>
                <w:kern w:val="0"/>
                <w:sz w:val="24"/>
              </w:rPr>
              <w:t>的</w:t>
            </w: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静态</w:t>
            </w:r>
            <w:r w:rsidR="009B24D9" w:rsidRPr="003D04B9">
              <w:rPr>
                <w:rFonts w:ascii="楷体_GB2312" w:eastAsia="楷体_GB2312" w:hAnsi="华文楷体" w:hint="eastAsia"/>
                <w:kern w:val="0"/>
                <w:sz w:val="24"/>
              </w:rPr>
              <w:t>充电桩</w:t>
            </w: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优化</w:t>
            </w:r>
            <w:r w:rsidR="009B24D9" w:rsidRPr="003D04B9">
              <w:rPr>
                <w:rFonts w:ascii="楷体_GB2312" w:eastAsia="楷体_GB2312" w:hAnsi="华文楷体" w:hint="eastAsia"/>
                <w:kern w:val="0"/>
                <w:sz w:val="24"/>
              </w:rPr>
              <w:t>部署研究</w:t>
            </w:r>
          </w:p>
        </w:tc>
      </w:tr>
      <w:tr w:rsidR="0031587A" w:rsidRPr="003D04B9">
        <w:trPr>
          <w:jc w:val="center"/>
        </w:trPr>
        <w:tc>
          <w:tcPr>
            <w:tcW w:w="2130" w:type="dxa"/>
            <w:vAlign w:val="center"/>
          </w:tcPr>
          <w:p w:rsidR="0031587A" w:rsidRPr="003D04B9" w:rsidRDefault="00FC4626">
            <w:pPr>
              <w:spacing w:line="320" w:lineRule="exact"/>
              <w:jc w:val="center"/>
              <w:rPr>
                <w:rFonts w:ascii="华文楷体" w:eastAsia="华文楷体" w:hAnsi="华文楷体"/>
                <w:kern w:val="0"/>
                <w:sz w:val="24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是否在社会实践中完成</w:t>
            </w:r>
            <w:r w:rsidRPr="003D04B9">
              <w:rPr>
                <w:rFonts w:ascii="华文楷体" w:eastAsia="华文楷体" w:hAnsi="华文楷体"/>
                <w:kern w:val="0"/>
                <w:position w:val="-4"/>
                <w:sz w:val="24"/>
              </w:rPr>
              <w:object w:dxaOrig="228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15pt" o:ole="">
                  <v:imagedata r:id="rId9" o:title=""/>
                </v:shape>
                <o:OLEObject Type="Embed" ProgID="Equation.3" ShapeID="_x0000_i1025" DrawAspect="Content" ObjectID="_1603376799" r:id="rId10"/>
              </w:object>
            </w:r>
          </w:p>
        </w:tc>
        <w:tc>
          <w:tcPr>
            <w:tcW w:w="2130" w:type="dxa"/>
            <w:gridSpan w:val="2"/>
            <w:vAlign w:val="center"/>
          </w:tcPr>
          <w:p w:rsidR="0031587A" w:rsidRPr="003D04B9" w:rsidRDefault="00100B84">
            <w:pPr>
              <w:spacing w:line="56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D04B9">
              <w:rPr>
                <w:rFonts w:ascii="宋体" w:hAnsi="宋体" w:hint="eastAsia"/>
                <w:kern w:val="0"/>
                <w:sz w:val="28"/>
                <w:szCs w:val="28"/>
              </w:rPr>
              <w:t>否</w:t>
            </w:r>
          </w:p>
        </w:tc>
        <w:tc>
          <w:tcPr>
            <w:tcW w:w="2131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华文楷体" w:eastAsia="华文楷体" w:hAnsi="华文楷体"/>
                <w:kern w:val="0"/>
                <w:sz w:val="24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题目来源</w:t>
            </w:r>
            <w:r w:rsidRPr="003D04B9">
              <w:rPr>
                <w:rFonts w:ascii="华文楷体" w:eastAsia="华文楷体" w:hAnsi="华文楷体"/>
                <w:kern w:val="0"/>
                <w:position w:val="-4"/>
                <w:sz w:val="24"/>
              </w:rPr>
              <w:object w:dxaOrig="240" w:dyaOrig="300">
                <v:shape id="_x0000_i1026" type="#_x0000_t75" style="width:12pt;height:15pt" o:ole="">
                  <v:imagedata r:id="rId11" o:title=""/>
                </v:shape>
                <o:OLEObject Type="Embed" ProgID="Equation.3" ShapeID="_x0000_i1026" DrawAspect="Content" ObjectID="_1603376800" r:id="rId12"/>
              </w:object>
            </w:r>
          </w:p>
        </w:tc>
        <w:tc>
          <w:tcPr>
            <w:tcW w:w="2131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/>
                <w:kern w:val="0"/>
                <w:sz w:val="24"/>
              </w:rPr>
              <w:t>教师科研题</w:t>
            </w:r>
          </w:p>
        </w:tc>
      </w:tr>
      <w:tr w:rsidR="0031587A" w:rsidRPr="003D04B9">
        <w:trPr>
          <w:jc w:val="center"/>
        </w:trPr>
        <w:tc>
          <w:tcPr>
            <w:tcW w:w="2808" w:type="dxa"/>
            <w:gridSpan w:val="2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4"/>
              </w:rPr>
              <w:t>设计(论文)起止时间</w:t>
            </w:r>
          </w:p>
        </w:tc>
        <w:tc>
          <w:tcPr>
            <w:tcW w:w="5714" w:type="dxa"/>
            <w:gridSpan w:val="3"/>
            <w:vAlign w:val="center"/>
          </w:tcPr>
          <w:p w:rsidR="0031587A" w:rsidRPr="003D04B9" w:rsidRDefault="00100B84">
            <w:pPr>
              <w:spacing w:line="560" w:lineRule="exact"/>
              <w:rPr>
                <w:rFonts w:ascii="宋体" w:hAnsi="宋体"/>
                <w:kern w:val="0"/>
                <w:sz w:val="28"/>
                <w:szCs w:val="28"/>
              </w:rPr>
            </w:pPr>
            <w:r w:rsidRPr="003D04B9">
              <w:rPr>
                <w:rFonts w:ascii="宋体" w:hAnsi="宋体" w:hint="eastAsia"/>
                <w:kern w:val="0"/>
                <w:sz w:val="28"/>
                <w:szCs w:val="28"/>
              </w:rPr>
              <w:t>2018</w:t>
            </w:r>
            <w:r w:rsidR="00FC4626" w:rsidRPr="003D04B9">
              <w:rPr>
                <w:rFonts w:ascii="宋体" w:hAnsi="宋体" w:hint="eastAsia"/>
                <w:kern w:val="0"/>
                <w:sz w:val="28"/>
                <w:szCs w:val="28"/>
              </w:rPr>
              <w:t>年</w:t>
            </w:r>
            <w:r w:rsidR="00112E29" w:rsidRPr="003D04B9">
              <w:rPr>
                <w:rFonts w:ascii="宋体" w:hAnsi="宋体" w:hint="eastAsia"/>
                <w:kern w:val="0"/>
                <w:sz w:val="28"/>
                <w:szCs w:val="28"/>
              </w:rPr>
              <w:t>12</w:t>
            </w:r>
            <w:r w:rsidR="00FC4626" w:rsidRPr="003D04B9">
              <w:rPr>
                <w:rFonts w:ascii="宋体" w:hAnsi="宋体" w:hint="eastAsia"/>
                <w:kern w:val="0"/>
                <w:sz w:val="28"/>
                <w:szCs w:val="28"/>
              </w:rPr>
              <w:t>月20日</w:t>
            </w:r>
            <w:r w:rsidRPr="003D04B9">
              <w:rPr>
                <w:rFonts w:ascii="宋体" w:hAnsi="宋体"/>
                <w:kern w:val="0"/>
                <w:sz w:val="28"/>
                <w:szCs w:val="28"/>
              </w:rPr>
              <w:t>—201</w:t>
            </w:r>
            <w:r w:rsidR="00112E29" w:rsidRPr="003D04B9">
              <w:rPr>
                <w:rFonts w:ascii="宋体" w:hAnsi="宋体" w:hint="eastAsia"/>
                <w:kern w:val="0"/>
                <w:sz w:val="28"/>
                <w:szCs w:val="28"/>
              </w:rPr>
              <w:t>9</w:t>
            </w:r>
            <w:r w:rsidR="00FC4626" w:rsidRPr="003D04B9">
              <w:rPr>
                <w:rFonts w:ascii="宋体" w:hAnsi="宋体" w:hint="eastAsia"/>
                <w:kern w:val="0"/>
                <w:sz w:val="28"/>
                <w:szCs w:val="28"/>
              </w:rPr>
              <w:t>年6月9日</w:t>
            </w:r>
          </w:p>
        </w:tc>
      </w:tr>
      <w:tr w:rsidR="0031587A" w:rsidRPr="003D04B9">
        <w:trPr>
          <w:jc w:val="center"/>
        </w:trPr>
        <w:tc>
          <w:tcPr>
            <w:tcW w:w="8522" w:type="dxa"/>
            <w:gridSpan w:val="5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华文楷体" w:eastAsia="华文楷体" w:hAnsi="华文楷体"/>
                <w:kern w:val="0"/>
                <w:sz w:val="24"/>
              </w:rPr>
            </w:pPr>
            <w:r w:rsidRPr="003D04B9">
              <w:rPr>
                <w:rFonts w:ascii="华文楷体" w:eastAsia="华文楷体" w:hAnsi="华文楷体" w:hint="eastAsia"/>
                <w:kern w:val="0"/>
                <w:sz w:val="24"/>
              </w:rPr>
              <w:t>主要内容要求</w:t>
            </w:r>
          </w:p>
        </w:tc>
      </w:tr>
      <w:tr w:rsidR="0031587A" w:rsidRPr="003D04B9">
        <w:trPr>
          <w:trHeight w:val="8697"/>
          <w:jc w:val="center"/>
        </w:trPr>
        <w:tc>
          <w:tcPr>
            <w:tcW w:w="8522" w:type="dxa"/>
            <w:gridSpan w:val="5"/>
          </w:tcPr>
          <w:p w:rsidR="0031587A" w:rsidRPr="003D04B9" w:rsidRDefault="00D22EAE" w:rsidP="00141B21">
            <w:pPr>
              <w:spacing w:line="400" w:lineRule="exact"/>
              <w:ind w:firstLineChars="150" w:firstLine="360"/>
              <w:rPr>
                <w:rFonts w:asciiTheme="minorEastAsia" w:eastAsiaTheme="minorEastAsia" w:hAnsiTheme="minorEastAsia"/>
                <w:kern w:val="0"/>
                <w:sz w:val="24"/>
              </w:rPr>
            </w:pPr>
            <w:bookmarkStart w:id="0" w:name="_GoBack"/>
            <w:bookmarkEnd w:id="0"/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继共享单车，共享汽车之后，共享运营的时代也催化了另外一种交通工具的流行，即共享电单车（Shared Ev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）。国内已经出现了包括租八戒、</w:t>
            </w: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电斑马、ebike、八点到、萌小明等一系列从事电单车租赁的公司。但是由于共享电单车主要依靠可充电电瓶维持运行，所以共享电单车的电瓶剩余能量是限制其正常工作的主要原因，这也是电单车租赁公司所面临的主要挑战。利用</w:t>
            </w:r>
            <w:r w:rsidR="00493AA9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固定充电桩</w:t>
            </w: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为城区中的共享电单车充电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是一种合理且有效的方式，</w:t>
            </w:r>
            <w:r w:rsidR="00FD6757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但是由于部署充电桩数量过多将占据大量城市土地资源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。因此，优化城区中</w:t>
            </w:r>
            <w:r w:rsidR="00FD6757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固定充电桩的部署位置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，同时最小化所需</w:t>
            </w:r>
            <w:r w:rsidR="00FD6757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充电桩</w:t>
            </w:r>
            <w:r w:rsidR="00E7140B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的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在共享电单车的运营中具有极其重要的现实意义。目前，在无线传感器网络中已有大量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利用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单个或多个</w:t>
            </w:r>
            <w:r w:rsidR="00E7140B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静态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能量源为传感器节点进行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充电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的研究，其能量源</w:t>
            </w:r>
            <w:r w:rsidR="00E7140B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在二维，三维空间</w:t>
            </w:r>
            <w:r w:rsidR="00903111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的优化部署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是无线充电传感器网络中最核心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研究问题之一。</w:t>
            </w:r>
            <w:r w:rsidR="003257EC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以无线传感器网络中的相关研究为基础，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本次毕业设计任务即设计并实现一种</w:t>
            </w: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针对城区共享电单车的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高效合理的</w:t>
            </w:r>
            <w:r w:rsidR="008B43F0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充电桩部署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方案，该任务需要满足以下需求：</w:t>
            </w:r>
          </w:p>
          <w:p w:rsidR="0031587A" w:rsidRPr="003D04B9" w:rsidRDefault="003257EC">
            <w:pPr>
              <w:numPr>
                <w:ilvl w:val="0"/>
                <w:numId w:val="1"/>
              </w:numPr>
              <w:spacing w:line="400" w:lineRule="exact"/>
              <w:ind w:left="44" w:firstLine="42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调研相关</w:t>
            </w:r>
            <w:r w:rsidR="008B43F0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静态能量源部署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问题的研究；</w:t>
            </w:r>
          </w:p>
          <w:p w:rsidR="000C42F4" w:rsidRPr="003D04B9" w:rsidRDefault="008B43F0" w:rsidP="000C42F4">
            <w:pPr>
              <w:numPr>
                <w:ilvl w:val="0"/>
                <w:numId w:val="1"/>
              </w:numPr>
              <w:spacing w:line="400" w:lineRule="exact"/>
              <w:ind w:left="44" w:firstLine="42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考虑将电单车投放于存在障碍的二维平面中，基于电单车的投入量，交通流量以及可行部署区域设计算法确定静态充电桩的部署区域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；</w:t>
            </w:r>
          </w:p>
          <w:p w:rsidR="000C42F4" w:rsidRPr="003D04B9" w:rsidRDefault="008B43F0" w:rsidP="000C42F4">
            <w:pPr>
              <w:numPr>
                <w:ilvl w:val="0"/>
                <w:numId w:val="1"/>
              </w:numPr>
              <w:spacing w:line="400" w:lineRule="exact"/>
              <w:ind w:left="44" w:firstLine="42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考虑充电桩具有有限能量，优化静态充电桩的部署位置与数量</w:t>
            </w:r>
            <w:r w:rsidR="000C42F4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；</w:t>
            </w:r>
          </w:p>
          <w:p w:rsidR="0031587A" w:rsidRPr="003D04B9" w:rsidRDefault="000C42F4" w:rsidP="000C42F4">
            <w:pPr>
              <w:numPr>
                <w:ilvl w:val="0"/>
                <w:numId w:val="1"/>
              </w:numPr>
              <w:spacing w:line="400" w:lineRule="exact"/>
              <w:ind w:left="44" w:firstLine="42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以真实数据为输入，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在</w:t>
            </w: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MATLAB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实现</w:t>
            </w:r>
            <w:r w:rsidR="008B43F0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该充电桩优化部署</w:t>
            </w:r>
            <w:r w:rsidR="00FC4626"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方案，并进行性能分析。</w:t>
            </w:r>
          </w:p>
          <w:p w:rsidR="008B43F0" w:rsidRPr="00F22447" w:rsidRDefault="00FC4626" w:rsidP="00F22447">
            <w:pPr>
              <w:spacing w:line="400" w:lineRule="exact"/>
              <w:ind w:firstLineChars="195" w:firstLine="468"/>
              <w:rPr>
                <w:rFonts w:asciiTheme="minorEastAsia" w:eastAsiaTheme="minorEastAsia" w:hAnsiTheme="minorEastAsia" w:hint="eastAsia"/>
                <w:kern w:val="0"/>
                <w:sz w:val="24"/>
              </w:rPr>
            </w:pPr>
            <w:r w:rsidRPr="003D04B9">
              <w:rPr>
                <w:rFonts w:asciiTheme="minorEastAsia" w:eastAsiaTheme="minorEastAsia" w:hAnsiTheme="minorEastAsia" w:hint="eastAsia"/>
                <w:kern w:val="0"/>
                <w:sz w:val="24"/>
              </w:rPr>
              <w:t>同时，本次毕业设计还需翻译一篇与本专业相关的学术论文（不少于5000汉字）；并撰写符合中南大学信息科学与工程学院《毕业设计指导书》要求的毕业设计论文，提供程序源码及可运行的程序。</w:t>
            </w:r>
          </w:p>
        </w:tc>
      </w:tr>
    </w:tbl>
    <w:p w:rsidR="0031587A" w:rsidRPr="003D04B9" w:rsidRDefault="00FC4626">
      <w:pPr>
        <w:spacing w:line="360" w:lineRule="exact"/>
        <w:ind w:firstLineChars="200" w:firstLine="480"/>
        <w:rPr>
          <w:rFonts w:ascii="楷体_GB2312" w:eastAsia="楷体_GB2312" w:hAnsi="华文楷体"/>
          <w:kern w:val="0"/>
          <w:sz w:val="24"/>
        </w:rPr>
      </w:pPr>
      <w:r w:rsidRPr="003D04B9">
        <w:rPr>
          <w:rFonts w:ascii="楷体_GB2312" w:eastAsia="楷体_GB2312" w:hAnsi="华文楷体"/>
          <w:kern w:val="0"/>
          <w:sz w:val="24"/>
          <w:szCs w:val="21"/>
        </w:rPr>
        <w:t>[</w:t>
      </w:r>
      <w:r w:rsidRPr="003D04B9">
        <w:rPr>
          <w:rFonts w:ascii="楷体_GB2312" w:eastAsia="楷体_GB2312" w:hAnsi="华文楷体"/>
          <w:kern w:val="0"/>
          <w:sz w:val="24"/>
        </w:rPr>
        <w:t>1]</w:t>
      </w:r>
      <w:r w:rsidRPr="003D04B9">
        <w:rPr>
          <w:rFonts w:ascii="宋体" w:hAnsi="宋体" w:hint="eastAsia"/>
          <w:b/>
          <w:kern w:val="0"/>
          <w:sz w:val="24"/>
        </w:rPr>
        <w:t>是否在社会实践中完成</w:t>
      </w:r>
      <w:r w:rsidRPr="003D04B9">
        <w:rPr>
          <w:rFonts w:ascii="宋体" w:hAnsi="宋体"/>
          <w:b/>
          <w:kern w:val="0"/>
          <w:sz w:val="24"/>
        </w:rPr>
        <w:t>：</w:t>
      </w:r>
      <w:r w:rsidRPr="003D04B9">
        <w:rPr>
          <w:rFonts w:ascii="仿宋_GB2312" w:eastAsia="仿宋_GB2312" w:hAnsi="华文楷体" w:hint="eastAsia"/>
          <w:kern w:val="0"/>
          <w:sz w:val="24"/>
        </w:rPr>
        <w:t>指在实验、实习、工程实践和社会调查等社会实践中完成的题目。</w:t>
      </w:r>
    </w:p>
    <w:p w:rsidR="0031587A" w:rsidRPr="003D04B9" w:rsidRDefault="00FC4626">
      <w:pPr>
        <w:spacing w:line="360" w:lineRule="exact"/>
        <w:ind w:firstLineChars="200" w:firstLine="480"/>
        <w:rPr>
          <w:rFonts w:ascii="楷体_GB2312" w:eastAsia="楷体_GB2312" w:hAnsi="华文楷体"/>
          <w:kern w:val="0"/>
          <w:sz w:val="24"/>
        </w:rPr>
      </w:pPr>
      <w:r w:rsidRPr="003D04B9">
        <w:rPr>
          <w:rFonts w:ascii="楷体_GB2312" w:eastAsia="楷体_GB2312" w:hAnsi="华文楷体"/>
          <w:kern w:val="0"/>
          <w:sz w:val="24"/>
        </w:rPr>
        <w:t>[2]</w:t>
      </w:r>
      <w:r w:rsidRPr="003D04B9">
        <w:rPr>
          <w:rFonts w:ascii="宋体" w:hAnsi="宋体"/>
          <w:b/>
          <w:kern w:val="0"/>
          <w:sz w:val="24"/>
        </w:rPr>
        <w:t>题目来源：</w:t>
      </w:r>
      <w:r w:rsidRPr="003D04B9">
        <w:rPr>
          <w:rFonts w:ascii="楷体_GB2312" w:eastAsia="楷体_GB2312" w:hAnsi="华文楷体" w:hint="eastAsia"/>
          <w:kern w:val="0"/>
          <w:sz w:val="24"/>
        </w:rPr>
        <w:t>①</w:t>
      </w:r>
      <w:r w:rsidRPr="003D04B9">
        <w:rPr>
          <w:rFonts w:ascii="楷体_GB2312" w:eastAsia="楷体_GB2312" w:hAnsi="华文楷体"/>
          <w:kern w:val="0"/>
          <w:sz w:val="24"/>
        </w:rPr>
        <w:t>教师科研题</w:t>
      </w:r>
      <w:r w:rsidRPr="003D04B9">
        <w:rPr>
          <w:rFonts w:ascii="楷体_GB2312" w:eastAsia="楷体_GB2312" w:hAnsi="华文楷体" w:hint="eastAsia"/>
          <w:kern w:val="0"/>
          <w:sz w:val="24"/>
        </w:rPr>
        <w:t>, ②</w:t>
      </w:r>
      <w:r w:rsidRPr="003D04B9">
        <w:rPr>
          <w:rFonts w:ascii="楷体_GB2312" w:eastAsia="楷体_GB2312" w:hAnsi="华文楷体"/>
          <w:kern w:val="0"/>
          <w:sz w:val="24"/>
        </w:rPr>
        <w:t>生产实际题</w:t>
      </w:r>
      <w:r w:rsidRPr="003D04B9">
        <w:rPr>
          <w:rFonts w:ascii="楷体_GB2312" w:eastAsia="楷体_GB2312" w:hAnsi="华文楷体" w:hint="eastAsia"/>
          <w:kern w:val="0"/>
          <w:sz w:val="24"/>
        </w:rPr>
        <w:t>, ③其它。</w:t>
      </w:r>
    </w:p>
    <w:p w:rsidR="0031587A" w:rsidRPr="003D04B9" w:rsidRDefault="0031587A">
      <w:pPr>
        <w:spacing w:line="360" w:lineRule="exact"/>
        <w:ind w:firstLineChars="200" w:firstLine="480"/>
        <w:rPr>
          <w:rFonts w:ascii="楷体_GB2312" w:eastAsia="楷体_GB2312" w:hAnsi="华文楷体"/>
          <w:kern w:val="0"/>
          <w:sz w:val="24"/>
        </w:rPr>
      </w:pPr>
    </w:p>
    <w:p w:rsidR="0031587A" w:rsidRPr="003D04B9" w:rsidRDefault="0031587A">
      <w:pPr>
        <w:spacing w:line="560" w:lineRule="exact"/>
        <w:rPr>
          <w:rFonts w:ascii="黑体" w:eastAsia="黑体" w:hAnsi="华文楷体"/>
          <w:kern w:val="0"/>
          <w:sz w:val="28"/>
          <w:szCs w:val="28"/>
        </w:rPr>
        <w:sectPr w:rsidR="0031587A" w:rsidRPr="003D04B9">
          <w:pgSz w:w="11906" w:h="16838"/>
          <w:pgMar w:top="1418" w:right="1134" w:bottom="1134" w:left="1701" w:header="851" w:footer="992" w:gutter="0"/>
          <w:cols w:space="425"/>
          <w:docGrid w:type="lines" w:linePitch="312"/>
        </w:sectPr>
      </w:pPr>
    </w:p>
    <w:p w:rsidR="0031587A" w:rsidRPr="003D04B9" w:rsidRDefault="00FC4626">
      <w:pPr>
        <w:spacing w:line="560" w:lineRule="exact"/>
        <w:rPr>
          <w:rFonts w:ascii="黑体" w:eastAsia="黑体" w:hAnsi="华文楷体"/>
          <w:kern w:val="0"/>
          <w:sz w:val="24"/>
        </w:rPr>
      </w:pPr>
      <w:r w:rsidRPr="003D04B9">
        <w:rPr>
          <w:rFonts w:ascii="黑体" w:eastAsia="黑体" w:hAnsi="华文楷体" w:hint="eastAsia"/>
          <w:kern w:val="0"/>
          <w:sz w:val="28"/>
          <w:szCs w:val="28"/>
        </w:rPr>
        <w:lastRenderedPageBreak/>
        <w:t>二、主要参考资料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560"/>
      </w:tblGrid>
      <w:tr w:rsidR="0031587A" w:rsidRPr="003D04B9">
        <w:trPr>
          <w:jc w:val="center"/>
        </w:trPr>
        <w:tc>
          <w:tcPr>
            <w:tcW w:w="82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楷体_GB2312" w:eastAsia="楷体_GB2312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7560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楷体_GB2312" w:eastAsia="楷体_GB2312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8"/>
                <w:szCs w:val="28"/>
              </w:rPr>
              <w:t>参考资料目录</w:t>
            </w:r>
          </w:p>
        </w:tc>
      </w:tr>
      <w:tr w:rsidR="0031587A" w:rsidRPr="003D04B9">
        <w:trPr>
          <w:jc w:val="center"/>
        </w:trPr>
        <w:tc>
          <w:tcPr>
            <w:tcW w:w="82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1</w:t>
            </w:r>
          </w:p>
        </w:tc>
        <w:tc>
          <w:tcPr>
            <w:tcW w:w="7560" w:type="dxa"/>
            <w:vAlign w:val="center"/>
          </w:tcPr>
          <w:p w:rsidR="0031587A" w:rsidRPr="003D04B9" w:rsidRDefault="00990BAA" w:rsidP="00D22EAE">
            <w:pPr>
              <w:pStyle w:val="1"/>
              <w:widowControl/>
              <w:shd w:val="clear" w:color="auto" w:fill="FFFFFF"/>
              <w:snapToGrid w:val="0"/>
              <w:spacing w:beforeLines="50" w:before="156" w:beforeAutospacing="0" w:afterAutospacing="0"/>
              <w:rPr>
                <w:rFonts w:hint="default"/>
                <w:kern w:val="0"/>
                <w:sz w:val="24"/>
              </w:rPr>
            </w:pP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>胡诚</w:t>
            </w: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 xml:space="preserve">. </w:t>
            </w: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>无线可充电传感器网络中充电规划及其可调度性研究</w:t>
            </w:r>
            <w:bookmarkStart w:id="1" w:name="OLE_LINK6"/>
            <w:r w:rsidRPr="003D04B9">
              <w:rPr>
                <w:rFonts w:ascii="Times New Roman" w:eastAsia="华文楷体" w:hAnsi="Times New Roman" w:hint="default"/>
                <w:b w:val="0"/>
                <w:kern w:val="0"/>
                <w:sz w:val="24"/>
                <w:szCs w:val="24"/>
              </w:rPr>
              <w:t>[</w:t>
            </w: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>D</w:t>
            </w:r>
            <w:r w:rsidRPr="003D04B9">
              <w:rPr>
                <w:rFonts w:ascii="Times New Roman" w:eastAsia="华文楷体" w:hAnsi="Times New Roman" w:hint="default"/>
                <w:b w:val="0"/>
                <w:kern w:val="0"/>
                <w:sz w:val="24"/>
                <w:szCs w:val="24"/>
              </w:rPr>
              <w:t xml:space="preserve">]. </w:t>
            </w: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>东南大学</w:t>
            </w:r>
            <w:r w:rsidRPr="003D04B9">
              <w:rPr>
                <w:rFonts w:ascii="Times New Roman" w:eastAsia="华文楷体" w:hAnsi="Times New Roman"/>
                <w:b w:val="0"/>
                <w:kern w:val="0"/>
                <w:sz w:val="24"/>
                <w:szCs w:val="24"/>
              </w:rPr>
              <w:t>, 2015.</w:t>
            </w:r>
            <w:bookmarkEnd w:id="1"/>
          </w:p>
        </w:tc>
      </w:tr>
      <w:tr w:rsidR="0031587A" w:rsidRPr="003D04B9">
        <w:trPr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2</w:t>
            </w:r>
          </w:p>
        </w:tc>
        <w:tc>
          <w:tcPr>
            <w:tcW w:w="7560" w:type="dxa"/>
            <w:vAlign w:val="center"/>
          </w:tcPr>
          <w:p w:rsidR="0031587A" w:rsidRPr="003D04B9" w:rsidRDefault="00447E77" w:rsidP="00536CFA">
            <w:pPr>
              <w:snapToGrid w:val="0"/>
              <w:spacing w:beforeLines="50" w:before="156"/>
              <w:rPr>
                <w:b/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Haipeng Dai, Xiaobing Wu, et al. Minimizing the number of mobile chargers for large-scale wireless rechargeable sensor networks [J]. Computer Communications, 2014, 46: 54-65.</w:t>
            </w:r>
          </w:p>
        </w:tc>
      </w:tr>
      <w:tr w:rsidR="0031587A" w:rsidRPr="003D04B9">
        <w:trPr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3</w:t>
            </w:r>
          </w:p>
        </w:tc>
        <w:tc>
          <w:tcPr>
            <w:tcW w:w="7560" w:type="dxa"/>
            <w:vAlign w:val="center"/>
          </w:tcPr>
          <w:p w:rsidR="0031587A" w:rsidRPr="003D04B9" w:rsidRDefault="00536CFA" w:rsidP="00675BB5">
            <w:pPr>
              <w:snapToGrid w:val="0"/>
              <w:spacing w:beforeLines="50" w:before="156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Guiyuan</w:t>
            </w:r>
            <w:r w:rsidRPr="003D04B9">
              <w:rPr>
                <w:rFonts w:hint="eastAsia"/>
                <w:kern w:val="0"/>
                <w:sz w:val="24"/>
              </w:rPr>
              <w:t xml:space="preserve"> Jiang, Siew-Kei Lam, et al</w:t>
            </w:r>
            <w:r w:rsidR="00675BB5" w:rsidRPr="003D04B9">
              <w:rPr>
                <w:rFonts w:hint="eastAsia"/>
                <w:kern w:val="0"/>
                <w:sz w:val="24"/>
              </w:rPr>
              <w:t>. Joint charging tour planning and depot positioning for wireless sensor networks using mobile c</w:t>
            </w:r>
            <w:r w:rsidRPr="003D04B9">
              <w:rPr>
                <w:rFonts w:hint="eastAsia"/>
                <w:kern w:val="0"/>
                <w:sz w:val="24"/>
              </w:rPr>
              <w:t>hargers [J]. IEEE/ACM Transactions on Networking, 2017, 25(4): 2250-2266.</w:t>
            </w:r>
          </w:p>
        </w:tc>
      </w:tr>
      <w:tr w:rsidR="0031587A" w:rsidRPr="003D04B9">
        <w:trPr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4</w:t>
            </w:r>
          </w:p>
        </w:tc>
        <w:tc>
          <w:tcPr>
            <w:tcW w:w="7560" w:type="dxa"/>
            <w:vAlign w:val="center"/>
          </w:tcPr>
          <w:p w:rsidR="0031587A" w:rsidRPr="003D04B9" w:rsidRDefault="00675BB5" w:rsidP="00675BB5">
            <w:pPr>
              <w:snapToGrid w:val="0"/>
              <w:spacing w:beforeLines="50" w:before="156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>Lyes Khelladi, Djamei Djenouri, et al. Efficient on-demand multi-node charging techniques for wireless sensor networks [J]. Computer Communications, 2017, 101: 44-56.</w:t>
            </w:r>
          </w:p>
        </w:tc>
      </w:tr>
      <w:tr w:rsidR="0031587A" w:rsidRPr="003D04B9">
        <w:trPr>
          <w:trHeight w:val="802"/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5</w:t>
            </w:r>
          </w:p>
        </w:tc>
        <w:tc>
          <w:tcPr>
            <w:tcW w:w="7560" w:type="dxa"/>
            <w:vAlign w:val="center"/>
          </w:tcPr>
          <w:p w:rsidR="0031587A" w:rsidRPr="003D04B9" w:rsidRDefault="00CB4950" w:rsidP="005F6198">
            <w:pPr>
              <w:snapToGrid w:val="0"/>
              <w:spacing w:beforeLines="50" w:before="156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Han G, Qian A, Jiang J, et al. A grid-based joint routing and charging algorithm for industrial wireless rechargeable sensor networks[J]. Computer Networks, 2016, 101(C):19-28.</w:t>
            </w:r>
          </w:p>
        </w:tc>
      </w:tr>
      <w:tr w:rsidR="0031587A" w:rsidRPr="003D04B9">
        <w:trPr>
          <w:trHeight w:val="727"/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kern w:val="0"/>
                <w:sz w:val="24"/>
              </w:rPr>
            </w:pPr>
            <w:r w:rsidRPr="003D04B9">
              <w:rPr>
                <w:kern w:val="0"/>
                <w:sz w:val="24"/>
              </w:rPr>
              <w:t>6</w:t>
            </w:r>
          </w:p>
        </w:tc>
        <w:tc>
          <w:tcPr>
            <w:tcW w:w="7560" w:type="dxa"/>
            <w:vAlign w:val="center"/>
          </w:tcPr>
          <w:p w:rsidR="0031587A" w:rsidRPr="003D04B9" w:rsidRDefault="00CB4950" w:rsidP="00655609">
            <w:pPr>
              <w:snapToGrid w:val="0"/>
              <w:spacing w:beforeLines="50" w:before="156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Han G, Liu L, Jiang J, et al. Analysis of Energy-Efficient Connected Target Coverage Algorithms for Industrial Wireless Sensor Networks[J]. IEEE Transactions on Industrial Informatics, 2017, 13(1):135-143.</w:t>
            </w:r>
          </w:p>
        </w:tc>
      </w:tr>
      <w:tr w:rsidR="0031587A" w:rsidRPr="003D04B9">
        <w:trPr>
          <w:trHeight w:val="704"/>
          <w:jc w:val="center"/>
        </w:trPr>
        <w:tc>
          <w:tcPr>
            <w:tcW w:w="828" w:type="dxa"/>
            <w:vAlign w:val="center"/>
          </w:tcPr>
          <w:p w:rsidR="0031587A" w:rsidRPr="003D04B9" w:rsidRDefault="00FC4626" w:rsidP="00D22EAE">
            <w:pPr>
              <w:snapToGrid w:val="0"/>
              <w:spacing w:beforeLines="50" w:before="156" w:afterLines="50" w:after="156"/>
              <w:jc w:val="center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 w:hint="eastAsia"/>
                <w:kern w:val="0"/>
                <w:sz w:val="24"/>
              </w:rPr>
              <w:t>7</w:t>
            </w:r>
          </w:p>
        </w:tc>
        <w:tc>
          <w:tcPr>
            <w:tcW w:w="7560" w:type="dxa"/>
            <w:vAlign w:val="center"/>
          </w:tcPr>
          <w:p w:rsidR="0031587A" w:rsidRPr="003D04B9" w:rsidRDefault="00411B49" w:rsidP="00D344BE">
            <w:pPr>
              <w:snapToGrid w:val="0"/>
              <w:spacing w:beforeLines="50" w:before="156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Dai H, Wang X, Liu A X, et al. Optimizing wireless charger placement for directional charging[C]// INFOCOM 2017 - IEEE Conference on Computer Communications, IEEE. IEEE, 2017:1-9.</w:t>
            </w:r>
          </w:p>
        </w:tc>
      </w:tr>
      <w:tr w:rsidR="00990BAA" w:rsidRPr="003D04B9">
        <w:trPr>
          <w:trHeight w:val="704"/>
          <w:jc w:val="center"/>
        </w:trPr>
        <w:tc>
          <w:tcPr>
            <w:tcW w:w="828" w:type="dxa"/>
            <w:vAlign w:val="center"/>
          </w:tcPr>
          <w:p w:rsidR="00990BAA" w:rsidRPr="003D04B9" w:rsidRDefault="00990BAA" w:rsidP="00D22EAE">
            <w:pPr>
              <w:snapToGrid w:val="0"/>
              <w:spacing w:beforeLines="50" w:before="156" w:afterLines="50" w:after="156"/>
              <w:jc w:val="center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 w:hint="eastAsia"/>
                <w:kern w:val="0"/>
                <w:sz w:val="24"/>
              </w:rPr>
              <w:t>8</w:t>
            </w:r>
          </w:p>
        </w:tc>
        <w:tc>
          <w:tcPr>
            <w:tcW w:w="7560" w:type="dxa"/>
            <w:vAlign w:val="center"/>
          </w:tcPr>
          <w:p w:rsidR="00990BAA" w:rsidRPr="003D04B9" w:rsidRDefault="00411B49" w:rsidP="00047798">
            <w:pPr>
              <w:snapToGrid w:val="0"/>
              <w:spacing w:beforeLines="50" w:before="156"/>
              <w:rPr>
                <w:rFonts w:eastAsia="华文楷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Islam M M, Shareef H, Mohamed A. A review of techniques for optimal placement and sizing of electric vehicle charging stations[J]. Przegląd Elektrotechniczny, 2015, 91(8): 122-126.</w:t>
            </w:r>
          </w:p>
        </w:tc>
      </w:tr>
    </w:tbl>
    <w:p w:rsidR="0031587A" w:rsidRPr="003D04B9" w:rsidRDefault="0031587A">
      <w:pPr>
        <w:snapToGrid w:val="0"/>
        <w:spacing w:line="560" w:lineRule="exact"/>
        <w:rPr>
          <w:rFonts w:ascii="华文楷体" w:eastAsia="华文楷体" w:hAnsi="华文楷体"/>
          <w:kern w:val="0"/>
          <w:sz w:val="15"/>
          <w:szCs w:val="15"/>
        </w:rPr>
      </w:pPr>
    </w:p>
    <w:p w:rsidR="0031587A" w:rsidRPr="003D04B9" w:rsidRDefault="00FC4626">
      <w:pPr>
        <w:spacing w:line="560" w:lineRule="exact"/>
        <w:rPr>
          <w:rFonts w:ascii="黑体" w:eastAsia="黑体" w:hAnsi="华文楷体"/>
          <w:kern w:val="0"/>
          <w:sz w:val="28"/>
          <w:szCs w:val="28"/>
        </w:rPr>
      </w:pPr>
      <w:r w:rsidRPr="003D04B9">
        <w:rPr>
          <w:rFonts w:ascii="黑体" w:eastAsia="黑体" w:hAnsi="华文楷体" w:hint="eastAsia"/>
          <w:kern w:val="0"/>
          <w:sz w:val="28"/>
          <w:szCs w:val="28"/>
        </w:rPr>
        <w:t>三、毕业设计(论文)进度安排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5220"/>
        <w:gridCol w:w="1754"/>
      </w:tblGrid>
      <w:tr w:rsidR="0031587A" w:rsidRPr="003D04B9">
        <w:trPr>
          <w:trHeight w:val="531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楷体_GB2312" w:eastAsia="楷体_GB2312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8"/>
                <w:szCs w:val="28"/>
              </w:rPr>
              <w:t>阶段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楷体_GB2312" w:eastAsia="楷体_GB2312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8"/>
                <w:szCs w:val="28"/>
              </w:rPr>
              <w:t>工作任务</w:t>
            </w:r>
            <w:r w:rsidRPr="003D04B9">
              <w:rPr>
                <w:rFonts w:ascii="楷体_GB2312" w:eastAsia="楷体_GB2312" w:hAnsi="华文楷体"/>
                <w:kern w:val="0"/>
                <w:sz w:val="28"/>
                <w:szCs w:val="28"/>
              </w:rPr>
              <w:t>内容</w:t>
            </w:r>
          </w:p>
        </w:tc>
        <w:tc>
          <w:tcPr>
            <w:tcW w:w="1754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楷体_GB2312" w:eastAsia="楷体_GB2312" w:hAnsi="华文楷体"/>
                <w:kern w:val="0"/>
                <w:sz w:val="28"/>
                <w:szCs w:val="28"/>
              </w:rPr>
            </w:pPr>
            <w:r w:rsidRPr="003D04B9">
              <w:rPr>
                <w:rFonts w:ascii="楷体_GB2312" w:eastAsia="楷体_GB2312" w:hAnsi="华文楷体" w:hint="eastAsia"/>
                <w:kern w:val="0"/>
                <w:sz w:val="28"/>
                <w:szCs w:val="28"/>
              </w:rPr>
              <w:t>起止时间</w:t>
            </w:r>
          </w:p>
        </w:tc>
      </w:tr>
      <w:tr w:rsidR="0031587A" w:rsidRPr="003D04B9">
        <w:trPr>
          <w:trHeight w:val="451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查阅国内外资料，熟悉开发工具</w:t>
            </w:r>
          </w:p>
        </w:tc>
        <w:tc>
          <w:tcPr>
            <w:tcW w:w="1754" w:type="dxa"/>
            <w:vAlign w:val="center"/>
          </w:tcPr>
          <w:p w:rsidR="0031587A" w:rsidRPr="003D04B9" w:rsidRDefault="00112E29">
            <w:pPr>
              <w:spacing w:line="560" w:lineRule="exact"/>
              <w:jc w:val="center"/>
              <w:rPr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>1</w:t>
            </w:r>
            <w:r w:rsidR="00FC4626" w:rsidRPr="003D04B9">
              <w:rPr>
                <w:kern w:val="0"/>
                <w:sz w:val="24"/>
              </w:rPr>
              <w:t>2</w:t>
            </w:r>
            <w:r w:rsidR="00FC4626" w:rsidRPr="003D04B9">
              <w:rPr>
                <w:rFonts w:hint="eastAsia"/>
                <w:kern w:val="0"/>
                <w:sz w:val="24"/>
              </w:rPr>
              <w:t>.</w:t>
            </w:r>
            <w:r w:rsidR="00FC4626" w:rsidRPr="003D04B9">
              <w:rPr>
                <w:kern w:val="0"/>
                <w:sz w:val="24"/>
              </w:rPr>
              <w:t>20</w:t>
            </w:r>
            <w:r w:rsidR="00FC4626" w:rsidRPr="003D04B9">
              <w:rPr>
                <w:rFonts w:hint="eastAsia"/>
                <w:kern w:val="0"/>
                <w:sz w:val="24"/>
              </w:rPr>
              <w:t xml:space="preserve"> </w:t>
            </w:r>
            <w:r w:rsidR="00FC4626" w:rsidRPr="003D04B9">
              <w:rPr>
                <w:kern w:val="0"/>
                <w:sz w:val="24"/>
              </w:rPr>
              <w:t>—</w:t>
            </w:r>
            <w:r w:rsidR="00FC4626" w:rsidRPr="003D04B9">
              <w:rPr>
                <w:rFonts w:hint="eastAsia"/>
                <w:kern w:val="0"/>
                <w:sz w:val="24"/>
              </w:rPr>
              <w:t xml:space="preserve"> </w:t>
            </w:r>
            <w:r w:rsidRPr="003D04B9">
              <w:rPr>
                <w:rFonts w:hint="eastAsia"/>
                <w:kern w:val="0"/>
                <w:sz w:val="24"/>
              </w:rPr>
              <w:t>1</w:t>
            </w:r>
            <w:r w:rsidR="00FC4626" w:rsidRPr="003D04B9">
              <w:rPr>
                <w:rFonts w:hint="eastAsia"/>
                <w:kern w:val="0"/>
                <w:sz w:val="24"/>
              </w:rPr>
              <w:t>.</w:t>
            </w:r>
            <w:r w:rsidRPr="003D04B9">
              <w:rPr>
                <w:rFonts w:hint="eastAsia"/>
                <w:kern w:val="0"/>
                <w:sz w:val="24"/>
              </w:rPr>
              <w:t>20</w:t>
            </w:r>
          </w:p>
        </w:tc>
      </w:tr>
      <w:tr w:rsidR="0031587A" w:rsidRPr="003D04B9">
        <w:trPr>
          <w:trHeight w:val="471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eastAsia="华文楷体" w:hint="eastAsia"/>
                <w:kern w:val="0"/>
                <w:sz w:val="24"/>
              </w:rPr>
              <w:t>方案</w:t>
            </w:r>
            <w:r w:rsidRPr="003D04B9">
              <w:rPr>
                <w:rFonts w:eastAsia="华文楷体"/>
                <w:kern w:val="0"/>
                <w:sz w:val="24"/>
              </w:rPr>
              <w:t>设计</w:t>
            </w:r>
          </w:p>
        </w:tc>
        <w:tc>
          <w:tcPr>
            <w:tcW w:w="1754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 xml:space="preserve"> </w:t>
            </w:r>
            <w:r w:rsidR="00112E29" w:rsidRPr="003D04B9">
              <w:rPr>
                <w:rFonts w:hint="eastAsia"/>
                <w:kern w:val="0"/>
                <w:sz w:val="24"/>
              </w:rPr>
              <w:t>1</w:t>
            </w:r>
            <w:r w:rsidRPr="003D04B9">
              <w:rPr>
                <w:rFonts w:hint="eastAsia"/>
                <w:kern w:val="0"/>
                <w:sz w:val="24"/>
              </w:rPr>
              <w:t>.</w:t>
            </w:r>
            <w:r w:rsidR="00112E29" w:rsidRPr="003D04B9">
              <w:rPr>
                <w:rFonts w:hint="eastAsia"/>
                <w:kern w:val="0"/>
                <w:sz w:val="24"/>
              </w:rPr>
              <w:t>21</w:t>
            </w:r>
            <w:r w:rsidRPr="003D04B9">
              <w:rPr>
                <w:rFonts w:hint="eastAsia"/>
                <w:kern w:val="0"/>
                <w:sz w:val="24"/>
              </w:rPr>
              <w:t xml:space="preserve"> </w:t>
            </w:r>
            <w:r w:rsidRPr="003D04B9">
              <w:rPr>
                <w:kern w:val="0"/>
                <w:sz w:val="24"/>
              </w:rPr>
              <w:t>—</w:t>
            </w:r>
            <w:r w:rsidRPr="003D04B9">
              <w:rPr>
                <w:rFonts w:hint="eastAsia"/>
                <w:kern w:val="0"/>
                <w:sz w:val="24"/>
              </w:rPr>
              <w:t xml:space="preserve"> 3.19</w:t>
            </w:r>
          </w:p>
        </w:tc>
      </w:tr>
      <w:tr w:rsidR="0031587A" w:rsidRPr="003D04B9">
        <w:trPr>
          <w:trHeight w:val="463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eastAsia="华文楷体" w:hint="eastAsia"/>
                <w:kern w:val="0"/>
                <w:sz w:val="24"/>
              </w:rPr>
              <w:t>仿真测试</w:t>
            </w:r>
          </w:p>
        </w:tc>
        <w:tc>
          <w:tcPr>
            <w:tcW w:w="1754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 xml:space="preserve">3.20 </w:t>
            </w:r>
            <w:r w:rsidRPr="003D04B9">
              <w:rPr>
                <w:kern w:val="0"/>
                <w:sz w:val="24"/>
              </w:rPr>
              <w:t>—</w:t>
            </w:r>
            <w:r w:rsidRPr="003D04B9">
              <w:rPr>
                <w:rFonts w:hint="eastAsia"/>
                <w:kern w:val="0"/>
                <w:sz w:val="24"/>
              </w:rPr>
              <w:t xml:space="preserve"> 4.29</w:t>
            </w:r>
          </w:p>
        </w:tc>
      </w:tr>
      <w:tr w:rsidR="0031587A" w:rsidRPr="003D04B9">
        <w:trPr>
          <w:trHeight w:val="468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完成毕业论文，准备答辩</w:t>
            </w:r>
          </w:p>
        </w:tc>
        <w:tc>
          <w:tcPr>
            <w:tcW w:w="1754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 xml:space="preserve">4.30 </w:t>
            </w:r>
            <w:r w:rsidRPr="003D04B9">
              <w:rPr>
                <w:kern w:val="0"/>
                <w:sz w:val="24"/>
              </w:rPr>
              <w:t>—</w:t>
            </w:r>
            <w:r w:rsidRPr="003D04B9">
              <w:rPr>
                <w:rFonts w:hint="eastAsia"/>
                <w:kern w:val="0"/>
                <w:sz w:val="24"/>
              </w:rPr>
              <w:t xml:space="preserve"> 5.20</w:t>
            </w:r>
          </w:p>
        </w:tc>
      </w:tr>
      <w:tr w:rsidR="0031587A" w:rsidRPr="003D04B9">
        <w:trPr>
          <w:trHeight w:val="460"/>
          <w:jc w:val="center"/>
        </w:trPr>
        <w:tc>
          <w:tcPr>
            <w:tcW w:w="1548" w:type="dxa"/>
            <w:vAlign w:val="center"/>
          </w:tcPr>
          <w:p w:rsidR="0031587A" w:rsidRPr="003D04B9" w:rsidRDefault="00FC4626">
            <w:pPr>
              <w:spacing w:line="56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ascii="宋体" w:hAnsi="宋体" w:hint="eastAsia"/>
                <w:kern w:val="0"/>
                <w:sz w:val="24"/>
              </w:rPr>
              <w:t>5</w:t>
            </w:r>
          </w:p>
        </w:tc>
        <w:tc>
          <w:tcPr>
            <w:tcW w:w="5220" w:type="dxa"/>
            <w:vAlign w:val="center"/>
          </w:tcPr>
          <w:p w:rsidR="0031587A" w:rsidRPr="003D04B9" w:rsidRDefault="00FC4626">
            <w:pPr>
              <w:spacing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 w:rsidRPr="003D04B9">
              <w:rPr>
                <w:rFonts w:eastAsia="华文楷体"/>
                <w:kern w:val="0"/>
                <w:sz w:val="24"/>
              </w:rPr>
              <w:t>论文答辩及完善</w:t>
            </w:r>
          </w:p>
        </w:tc>
        <w:tc>
          <w:tcPr>
            <w:tcW w:w="1754" w:type="dxa"/>
            <w:vAlign w:val="center"/>
          </w:tcPr>
          <w:p w:rsidR="0031587A" w:rsidRPr="003D04B9" w:rsidRDefault="00FC4626">
            <w:pPr>
              <w:spacing w:line="560" w:lineRule="exact"/>
              <w:rPr>
                <w:kern w:val="0"/>
                <w:sz w:val="24"/>
              </w:rPr>
            </w:pPr>
            <w:r w:rsidRPr="003D04B9">
              <w:rPr>
                <w:rFonts w:hint="eastAsia"/>
                <w:kern w:val="0"/>
                <w:sz w:val="24"/>
              </w:rPr>
              <w:t xml:space="preserve">  5.21 </w:t>
            </w:r>
            <w:r w:rsidRPr="003D04B9">
              <w:rPr>
                <w:kern w:val="0"/>
                <w:sz w:val="24"/>
              </w:rPr>
              <w:t>—</w:t>
            </w:r>
            <w:r w:rsidRPr="003D04B9">
              <w:rPr>
                <w:rFonts w:hint="eastAsia"/>
                <w:kern w:val="0"/>
                <w:sz w:val="24"/>
              </w:rPr>
              <w:t xml:space="preserve"> </w:t>
            </w:r>
            <w:r w:rsidRPr="003D04B9">
              <w:rPr>
                <w:kern w:val="0"/>
                <w:sz w:val="24"/>
              </w:rPr>
              <w:t>6.9</w:t>
            </w:r>
          </w:p>
        </w:tc>
      </w:tr>
    </w:tbl>
    <w:p w:rsidR="0031587A" w:rsidRPr="003D04B9" w:rsidRDefault="0031587A">
      <w:pPr>
        <w:snapToGrid w:val="0"/>
        <w:ind w:firstLineChars="200" w:firstLine="560"/>
        <w:rPr>
          <w:rFonts w:ascii="楷体_GB2312" w:eastAsia="楷体_GB2312" w:hAnsi="华文楷体"/>
          <w:kern w:val="0"/>
          <w:sz w:val="28"/>
          <w:szCs w:val="28"/>
        </w:rPr>
      </w:pPr>
    </w:p>
    <w:p w:rsidR="0031587A" w:rsidRPr="003D04B9" w:rsidRDefault="00FC4626">
      <w:pPr>
        <w:spacing w:line="560" w:lineRule="exact"/>
        <w:ind w:firstLineChars="200" w:firstLine="560"/>
        <w:rPr>
          <w:rFonts w:ascii="华文楷体" w:eastAsia="华文楷体" w:hAnsi="华文楷体"/>
          <w:kern w:val="0"/>
          <w:sz w:val="28"/>
          <w:szCs w:val="28"/>
        </w:rPr>
      </w:pP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lastRenderedPageBreak/>
        <w:t>指导教师（签名）：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 xml:space="preserve">   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 xml:space="preserve">                </w:t>
      </w: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时间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：</w:t>
      </w:r>
      <w:r w:rsidR="007F77D6" w:rsidRPr="003D04B9">
        <w:rPr>
          <w:rFonts w:ascii="华文楷体" w:eastAsia="华文楷体" w:hAnsi="华文楷体" w:hint="eastAsia"/>
          <w:kern w:val="0"/>
          <w:sz w:val="28"/>
          <w:szCs w:val="28"/>
        </w:rPr>
        <w:t>201</w:t>
      </w:r>
      <w:r w:rsidR="00724A07" w:rsidRPr="003D04B9">
        <w:rPr>
          <w:rFonts w:ascii="华文楷体" w:eastAsia="华文楷体" w:hAnsi="华文楷体" w:hint="eastAsia"/>
          <w:kern w:val="0"/>
          <w:sz w:val="28"/>
          <w:szCs w:val="28"/>
        </w:rPr>
        <w:t>8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.12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>.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10</w:t>
      </w:r>
    </w:p>
    <w:p w:rsidR="0031587A" w:rsidRPr="003D04B9" w:rsidRDefault="00FC4626">
      <w:pPr>
        <w:spacing w:line="560" w:lineRule="exact"/>
        <w:ind w:firstLineChars="200" w:firstLine="560"/>
        <w:rPr>
          <w:rFonts w:ascii="华文楷体" w:eastAsia="华文楷体" w:hAnsi="华文楷体"/>
          <w:kern w:val="0"/>
          <w:sz w:val="28"/>
          <w:szCs w:val="28"/>
        </w:rPr>
      </w:pP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系</w:t>
      </w:r>
      <w:r w:rsidRPr="003D04B9">
        <w:rPr>
          <w:rFonts w:ascii="楷体_GB2312" w:eastAsia="楷体_GB2312" w:hAnsi="华文楷体"/>
          <w:kern w:val="0"/>
          <w:sz w:val="28"/>
          <w:szCs w:val="28"/>
        </w:rPr>
        <w:t>(所)主任(签名)</w:t>
      </w: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：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 xml:space="preserve">    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 xml:space="preserve">               </w:t>
      </w: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时间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：</w:t>
      </w:r>
      <w:r w:rsidR="007F77D6" w:rsidRPr="003D04B9">
        <w:rPr>
          <w:rFonts w:ascii="华文楷体" w:eastAsia="华文楷体" w:hAnsi="华文楷体" w:hint="eastAsia"/>
          <w:kern w:val="0"/>
          <w:sz w:val="28"/>
          <w:szCs w:val="28"/>
        </w:rPr>
        <w:t>201</w:t>
      </w:r>
      <w:r w:rsidR="00724A07" w:rsidRPr="003D04B9">
        <w:rPr>
          <w:rFonts w:ascii="华文楷体" w:eastAsia="华文楷体" w:hAnsi="华文楷体" w:hint="eastAsia"/>
          <w:kern w:val="0"/>
          <w:sz w:val="28"/>
          <w:szCs w:val="28"/>
        </w:rPr>
        <w:t>8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.12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>.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30</w:t>
      </w:r>
    </w:p>
    <w:p w:rsidR="0031587A" w:rsidRPr="003D04B9" w:rsidRDefault="00FC4626">
      <w:pPr>
        <w:spacing w:line="560" w:lineRule="exact"/>
        <w:ind w:firstLineChars="200" w:firstLine="560"/>
        <w:rPr>
          <w:rFonts w:ascii="华文楷体" w:eastAsia="华文楷体" w:hAnsi="华文楷体"/>
          <w:kern w:val="0"/>
          <w:sz w:val="28"/>
          <w:szCs w:val="28"/>
        </w:rPr>
      </w:pP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主管院长（签名）：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 xml:space="preserve">     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 xml:space="preserve"> </w:t>
      </w:r>
      <w:r w:rsidRPr="003D04B9">
        <w:rPr>
          <w:rFonts w:ascii="华文楷体" w:eastAsia="华文楷体" w:hAnsi="华文楷体"/>
          <w:kern w:val="0"/>
          <w:sz w:val="28"/>
          <w:szCs w:val="28"/>
        </w:rPr>
        <w:t xml:space="preserve"> 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 xml:space="preserve">            </w:t>
      </w:r>
      <w:r w:rsidRPr="003D04B9">
        <w:rPr>
          <w:rFonts w:ascii="楷体_GB2312" w:eastAsia="楷体_GB2312" w:hAnsi="华文楷体" w:hint="eastAsia"/>
          <w:kern w:val="0"/>
          <w:sz w:val="28"/>
          <w:szCs w:val="28"/>
        </w:rPr>
        <w:t>时间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：</w:t>
      </w:r>
      <w:r w:rsidR="007F77D6" w:rsidRPr="003D04B9">
        <w:rPr>
          <w:rFonts w:ascii="华文楷体" w:eastAsia="华文楷体" w:hAnsi="华文楷体" w:hint="eastAsia"/>
          <w:kern w:val="0"/>
          <w:sz w:val="28"/>
          <w:szCs w:val="28"/>
        </w:rPr>
        <w:t>201</w:t>
      </w:r>
      <w:r w:rsidR="00724A07" w:rsidRPr="003D04B9">
        <w:rPr>
          <w:rFonts w:ascii="华文楷体" w:eastAsia="华文楷体" w:hAnsi="华文楷体" w:hint="eastAsia"/>
          <w:kern w:val="0"/>
          <w:sz w:val="28"/>
          <w:szCs w:val="28"/>
        </w:rPr>
        <w:t>9</w:t>
      </w:r>
      <w:r w:rsidRPr="003D04B9">
        <w:rPr>
          <w:rFonts w:ascii="华文楷体" w:eastAsia="华文楷体" w:hAnsi="华文楷体" w:hint="eastAsia"/>
          <w:kern w:val="0"/>
          <w:sz w:val="28"/>
          <w:szCs w:val="28"/>
        </w:rPr>
        <w:t>.1.10</w:t>
      </w:r>
    </w:p>
    <w:sectPr w:rsidR="0031587A" w:rsidRPr="003D04B9">
      <w:pgSz w:w="11906" w:h="16838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16E" w:rsidRDefault="000D016E" w:rsidP="00D22EAE">
      <w:r>
        <w:separator/>
      </w:r>
    </w:p>
  </w:endnote>
  <w:endnote w:type="continuationSeparator" w:id="0">
    <w:p w:rsidR="000D016E" w:rsidRDefault="000D016E" w:rsidP="00D2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16E" w:rsidRDefault="000D016E" w:rsidP="00D22EAE">
      <w:r>
        <w:separator/>
      </w:r>
    </w:p>
  </w:footnote>
  <w:footnote w:type="continuationSeparator" w:id="0">
    <w:p w:rsidR="000D016E" w:rsidRDefault="000D016E" w:rsidP="00D2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812"/>
    <w:multiLevelType w:val="multilevel"/>
    <w:tmpl w:val="00753812"/>
    <w:lvl w:ilvl="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6171B40"/>
    <w:multiLevelType w:val="multilevel"/>
    <w:tmpl w:val="00753812"/>
    <w:lvl w:ilvl="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FA"/>
    <w:rsid w:val="00012A14"/>
    <w:rsid w:val="000176A6"/>
    <w:rsid w:val="0003262E"/>
    <w:rsid w:val="00047798"/>
    <w:rsid w:val="00052B14"/>
    <w:rsid w:val="00063AF3"/>
    <w:rsid w:val="00074F56"/>
    <w:rsid w:val="00076C53"/>
    <w:rsid w:val="000844B4"/>
    <w:rsid w:val="00096A3A"/>
    <w:rsid w:val="000C42F4"/>
    <w:rsid w:val="000D016E"/>
    <w:rsid w:val="000D43BC"/>
    <w:rsid w:val="00100B84"/>
    <w:rsid w:val="00106FAE"/>
    <w:rsid w:val="00111AAB"/>
    <w:rsid w:val="00112E29"/>
    <w:rsid w:val="0012507F"/>
    <w:rsid w:val="00141B21"/>
    <w:rsid w:val="001501DD"/>
    <w:rsid w:val="001554AB"/>
    <w:rsid w:val="001560B0"/>
    <w:rsid w:val="00167283"/>
    <w:rsid w:val="00172A27"/>
    <w:rsid w:val="001B07AD"/>
    <w:rsid w:val="001B34CB"/>
    <w:rsid w:val="001C708A"/>
    <w:rsid w:val="00241582"/>
    <w:rsid w:val="0027331F"/>
    <w:rsid w:val="00274378"/>
    <w:rsid w:val="00283CE4"/>
    <w:rsid w:val="002A1DFC"/>
    <w:rsid w:val="002A2073"/>
    <w:rsid w:val="002D09D6"/>
    <w:rsid w:val="002D4965"/>
    <w:rsid w:val="002E0B17"/>
    <w:rsid w:val="00311773"/>
    <w:rsid w:val="0031587A"/>
    <w:rsid w:val="003204CA"/>
    <w:rsid w:val="003206D3"/>
    <w:rsid w:val="00325467"/>
    <w:rsid w:val="003257EC"/>
    <w:rsid w:val="00330CE0"/>
    <w:rsid w:val="003416B6"/>
    <w:rsid w:val="00344FA3"/>
    <w:rsid w:val="00346485"/>
    <w:rsid w:val="00372EA5"/>
    <w:rsid w:val="00381BC7"/>
    <w:rsid w:val="003A7FBC"/>
    <w:rsid w:val="003D04B9"/>
    <w:rsid w:val="003D4AB6"/>
    <w:rsid w:val="003F4748"/>
    <w:rsid w:val="00411B49"/>
    <w:rsid w:val="004417E6"/>
    <w:rsid w:val="00447E77"/>
    <w:rsid w:val="00450ED1"/>
    <w:rsid w:val="004529C2"/>
    <w:rsid w:val="00467EC7"/>
    <w:rsid w:val="00493AA9"/>
    <w:rsid w:val="004A514E"/>
    <w:rsid w:val="004C5C37"/>
    <w:rsid w:val="004D0C90"/>
    <w:rsid w:val="004E5766"/>
    <w:rsid w:val="004F2EEA"/>
    <w:rsid w:val="004F65C8"/>
    <w:rsid w:val="00511D17"/>
    <w:rsid w:val="00516107"/>
    <w:rsid w:val="00536CFA"/>
    <w:rsid w:val="00541039"/>
    <w:rsid w:val="00560CDA"/>
    <w:rsid w:val="00561780"/>
    <w:rsid w:val="005F6198"/>
    <w:rsid w:val="0060229F"/>
    <w:rsid w:val="00627BA0"/>
    <w:rsid w:val="0063008B"/>
    <w:rsid w:val="00655609"/>
    <w:rsid w:val="0066029F"/>
    <w:rsid w:val="00662982"/>
    <w:rsid w:val="00675BB5"/>
    <w:rsid w:val="0069132D"/>
    <w:rsid w:val="006B0197"/>
    <w:rsid w:val="006E6CC0"/>
    <w:rsid w:val="006F3BDE"/>
    <w:rsid w:val="007135F6"/>
    <w:rsid w:val="00722740"/>
    <w:rsid w:val="00724A07"/>
    <w:rsid w:val="00733704"/>
    <w:rsid w:val="007554B8"/>
    <w:rsid w:val="0076334B"/>
    <w:rsid w:val="00770089"/>
    <w:rsid w:val="007712F8"/>
    <w:rsid w:val="00795C06"/>
    <w:rsid w:val="007A7E50"/>
    <w:rsid w:val="007B3AB8"/>
    <w:rsid w:val="007F2B01"/>
    <w:rsid w:val="007F77D6"/>
    <w:rsid w:val="00823841"/>
    <w:rsid w:val="008332E2"/>
    <w:rsid w:val="00853B00"/>
    <w:rsid w:val="008844A3"/>
    <w:rsid w:val="0089792F"/>
    <w:rsid w:val="008A1F5A"/>
    <w:rsid w:val="008B43F0"/>
    <w:rsid w:val="008E3DDF"/>
    <w:rsid w:val="008F047E"/>
    <w:rsid w:val="00903111"/>
    <w:rsid w:val="00910EF6"/>
    <w:rsid w:val="00944A9A"/>
    <w:rsid w:val="00956559"/>
    <w:rsid w:val="00990BAA"/>
    <w:rsid w:val="009B24D9"/>
    <w:rsid w:val="009C38B0"/>
    <w:rsid w:val="009D47BB"/>
    <w:rsid w:val="00A13E61"/>
    <w:rsid w:val="00A14AE2"/>
    <w:rsid w:val="00A16154"/>
    <w:rsid w:val="00A74E90"/>
    <w:rsid w:val="00AC67AA"/>
    <w:rsid w:val="00AC7FC6"/>
    <w:rsid w:val="00B435E1"/>
    <w:rsid w:val="00B556C5"/>
    <w:rsid w:val="00B8370E"/>
    <w:rsid w:val="00B96E28"/>
    <w:rsid w:val="00C00ECA"/>
    <w:rsid w:val="00C275B8"/>
    <w:rsid w:val="00C32364"/>
    <w:rsid w:val="00C34A05"/>
    <w:rsid w:val="00C42FDB"/>
    <w:rsid w:val="00C460F7"/>
    <w:rsid w:val="00C61C1C"/>
    <w:rsid w:val="00CA2972"/>
    <w:rsid w:val="00CB4950"/>
    <w:rsid w:val="00CE3A17"/>
    <w:rsid w:val="00CF13B1"/>
    <w:rsid w:val="00CF1C29"/>
    <w:rsid w:val="00D22EAE"/>
    <w:rsid w:val="00D344BE"/>
    <w:rsid w:val="00D37548"/>
    <w:rsid w:val="00D66780"/>
    <w:rsid w:val="00DD0E35"/>
    <w:rsid w:val="00DD52F7"/>
    <w:rsid w:val="00DE5AA9"/>
    <w:rsid w:val="00DF6577"/>
    <w:rsid w:val="00E01662"/>
    <w:rsid w:val="00E03EF4"/>
    <w:rsid w:val="00E10A68"/>
    <w:rsid w:val="00E2422B"/>
    <w:rsid w:val="00E409B0"/>
    <w:rsid w:val="00E47002"/>
    <w:rsid w:val="00E56AAD"/>
    <w:rsid w:val="00E56D05"/>
    <w:rsid w:val="00E7140B"/>
    <w:rsid w:val="00E90DF9"/>
    <w:rsid w:val="00E92710"/>
    <w:rsid w:val="00EA4FD6"/>
    <w:rsid w:val="00EC4859"/>
    <w:rsid w:val="00EE2956"/>
    <w:rsid w:val="00EF5BFF"/>
    <w:rsid w:val="00F0695C"/>
    <w:rsid w:val="00F22447"/>
    <w:rsid w:val="00F30778"/>
    <w:rsid w:val="00F43002"/>
    <w:rsid w:val="00F56B93"/>
    <w:rsid w:val="00F816B6"/>
    <w:rsid w:val="00FB7EAE"/>
    <w:rsid w:val="00FC4626"/>
    <w:rsid w:val="00FD6757"/>
    <w:rsid w:val="00FE2278"/>
    <w:rsid w:val="00FE4D76"/>
    <w:rsid w:val="00FF565B"/>
    <w:rsid w:val="085F3120"/>
    <w:rsid w:val="0D7064D2"/>
    <w:rsid w:val="0ED00BE9"/>
    <w:rsid w:val="0F64047D"/>
    <w:rsid w:val="10FF083C"/>
    <w:rsid w:val="147D42D4"/>
    <w:rsid w:val="163C6F34"/>
    <w:rsid w:val="16465580"/>
    <w:rsid w:val="1B273AC9"/>
    <w:rsid w:val="1B8665FE"/>
    <w:rsid w:val="1EC60C7B"/>
    <w:rsid w:val="1F4F3B8F"/>
    <w:rsid w:val="21CC4302"/>
    <w:rsid w:val="282252C2"/>
    <w:rsid w:val="2C2059A6"/>
    <w:rsid w:val="2C5338CB"/>
    <w:rsid w:val="3119658A"/>
    <w:rsid w:val="31863E4D"/>
    <w:rsid w:val="31B6790A"/>
    <w:rsid w:val="358240BD"/>
    <w:rsid w:val="3C2E1BA5"/>
    <w:rsid w:val="3CFF2F8C"/>
    <w:rsid w:val="408242A1"/>
    <w:rsid w:val="415827FF"/>
    <w:rsid w:val="41BE0A4B"/>
    <w:rsid w:val="41C30F9F"/>
    <w:rsid w:val="41E94FCA"/>
    <w:rsid w:val="443C66F2"/>
    <w:rsid w:val="47FA738E"/>
    <w:rsid w:val="4B1A56CF"/>
    <w:rsid w:val="4B1B1875"/>
    <w:rsid w:val="52721156"/>
    <w:rsid w:val="561D55A0"/>
    <w:rsid w:val="56E65939"/>
    <w:rsid w:val="574A53A5"/>
    <w:rsid w:val="5879634A"/>
    <w:rsid w:val="5C454808"/>
    <w:rsid w:val="609B12CA"/>
    <w:rsid w:val="624B38E2"/>
    <w:rsid w:val="63BF084C"/>
    <w:rsid w:val="64943DA4"/>
    <w:rsid w:val="69B456EB"/>
    <w:rsid w:val="6E212730"/>
    <w:rsid w:val="6FA96F2B"/>
    <w:rsid w:val="737B763D"/>
    <w:rsid w:val="77923F86"/>
    <w:rsid w:val="79C355DE"/>
    <w:rsid w:val="7C8B1C2C"/>
    <w:rsid w:val="7D6A2AB9"/>
    <w:rsid w:val="7E6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181F2D-71D9-4184-B228-418F6B21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ascii="黑体" w:eastAsia="黑体"/>
      <w:b/>
      <w:sz w:val="44"/>
      <w:szCs w:val="36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hint="eastAsia"/>
      <w:color w:val="000000"/>
      <w:sz w:val="24"/>
    </w:rPr>
  </w:style>
  <w:style w:type="paragraph" w:styleId="a9">
    <w:name w:val="List Paragraph"/>
    <w:basedOn w:val="a"/>
    <w:uiPriority w:val="99"/>
    <w:unhideWhenUsed/>
    <w:rsid w:val="000C4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401</Words>
  <Characters>2287</Characters>
  <Application>Microsoft Office Word</Application>
  <DocSecurity>0</DocSecurity>
  <Lines>19</Lines>
  <Paragraphs>5</Paragraphs>
  <ScaleCrop>false</ScaleCrop>
  <Company>AAA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中南大学</dc:title>
  <dc:creator>fcrpg2003</dc:creator>
  <cp:lastModifiedBy>Xu Aikun</cp:lastModifiedBy>
  <cp:revision>75</cp:revision>
  <cp:lastPrinted>2014-12-25T02:43:00Z</cp:lastPrinted>
  <dcterms:created xsi:type="dcterms:W3CDTF">2016-11-16T03:44:00Z</dcterms:created>
  <dcterms:modified xsi:type="dcterms:W3CDTF">2018-11-10T09:40:00Z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