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0" w:before="60" w:line="240" w:lineRule="auto"/>
        <w:rPr>
          <w:rFonts w:ascii="Courier New" w:cs="Courier New" w:eastAsia="Courier New" w:hAnsi="Courier New"/>
          <w:b w:val="1"/>
          <w:color w:val="434343"/>
          <w:sz w:val="48"/>
          <w:szCs w:val="48"/>
        </w:rPr>
      </w:pPr>
      <w:bookmarkStart w:colFirst="0" w:colLast="0" w:name="_8flmdoa9l4b4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8"/>
          <w:szCs w:val="48"/>
          <w:rtl w:val="0"/>
        </w:rPr>
        <w:t xml:space="preserve">MQTT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y3ceq9o2b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36"/>
          <w:szCs w:val="36"/>
        </w:rPr>
      </w:pPr>
      <w:bookmarkStart w:colFirst="0" w:colLast="0" w:name="_f13ukbkb99v6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434343"/>
          <w:sz w:val="36"/>
          <w:szCs w:val="36"/>
          <w:rtl w:val="0"/>
        </w:rPr>
        <w:t xml:space="preserve">IoT協議介紹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在物聯網協議中有兩大類: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感知層的協議: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裝置之間的網路及傳輸連接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WiFi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RFID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藍牙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ZigBee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4G / 5G 網路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應用層的協議: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TCP / IP 協定上的裝置通訊協議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b w:val="1"/>
          <w:i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4"/>
          <w:szCs w:val="24"/>
          <w:rtl w:val="0"/>
        </w:rPr>
        <w:t xml:space="preserve">MQTT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CoAP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XMPP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AMQP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i5cpbf4h4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en20hf2iiwko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</w:rPr>
        <w:drawing>
          <wp:inline distB="114300" distT="114300" distL="114300" distR="114300">
            <wp:extent cx="5176838" cy="257946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7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wrvhwpvthfm0" w:id="5"/>
      <w:bookmarkEnd w:id="5"/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簡介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MQTT(Message Queuing Telemetry Transport) 訊息序列遙測傳輸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1999年 IBM 發明。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伺服器與用戶端間的發布與訂閱的訊息傳輸協定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(publish / subscribe 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正式變成開放的 OASIS 國際標準。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0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適用於 M2M 和 IoT 環境。</w:t>
      </w:r>
    </w:p>
    <w:p w:rsidR="00000000" w:rsidDel="00000000" w:rsidP="00000000" w:rsidRDefault="00000000" w:rsidRPr="00000000" w14:paraId="0000001B">
      <w:pPr>
        <w:shd w:fill="ffffff" w:val="clear"/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特點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好處在於它是一種輕量級協議（為了物聯網而設計的協定）。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網路頻寬很低。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硬體資源低。</w:t>
      </w:r>
    </w:p>
    <w:p w:rsidR="00000000" w:rsidDel="00000000" w:rsidP="00000000" w:rsidRDefault="00000000" w:rsidRPr="00000000" w14:paraId="0000001F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適合用在低功耗和網絡帶寬有限的 IoT 環境，像是：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智慧家電，醫療裝置等等。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dus10zh02cs0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訊息傳遞原理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使用發佈 (Publish) / 訂閱 (Subscribe) 的機制傳訊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4個主要的元素: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發佈者 (Publisher)。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訂閱者 (Subscriber)。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主題 (Topic)。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轉訊站 (Broker)。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4119563" cy="200840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0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發佈者 (Publisher)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發佈一個主題，傳送給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18"/>
          <w:szCs w:val="18"/>
          <w:rtl w:val="0"/>
        </w:rPr>
        <w:t xml:space="preserve">，</w:t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由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 轉發給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訂閱者 (Subscriber)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。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072063" cy="285710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85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MQTT 訊息格式、封包格式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訊息格式有三類: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Fix Header (固定格式封包)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020"/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DUP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QoS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Retain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2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Remaining Length</w:t>
            </w:r>
          </w:p>
        </w:tc>
      </w:tr>
    </w:tbl>
    <w:p w:rsidR="00000000" w:rsidDel="00000000" w:rsidP="00000000" w:rsidRDefault="00000000" w:rsidRPr="00000000" w14:paraId="0000004C">
      <w:pPr>
        <w:spacing w:after="200" w:before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Message Type為4 bit數字，共16位數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Variable Header (變動格式封包)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Payload (訊息內文)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[ DUP flag：標記此訊息為重複 (duplicate) 的訊息，會用在 PUBLISH、PUBREL、SUBSCRIBE、UNSUBSCRIBE 上。 ]</w:t>
      </w:r>
    </w:p>
    <w:p w:rsidR="00000000" w:rsidDel="00000000" w:rsidP="00000000" w:rsidRDefault="00000000" w:rsidRPr="00000000" w14:paraId="00000050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 級別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 定義了三個層級的品質設定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 代表：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Publisher 與 Broker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Broker 與 Subscriber 之間傳輸品質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0 最多傳送一次（at most once）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後直接轉傳給 Subscriber，不會回傳</w:t>
      </w:r>
    </w:p>
    <w:p w:rsidR="00000000" w:rsidDel="00000000" w:rsidP="00000000" w:rsidRDefault="00000000" w:rsidRPr="00000000" w14:paraId="00000059">
      <w:pPr>
        <w:spacing w:after="200" w:before="0" w:line="240" w:lineRule="auto"/>
        <w:ind w:left="1440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確認封包。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QoS 0 就像寄平信，不保證訊息會送達。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1 至少傳送一次（at least once）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後，Broker 會回應 PUBACK 訊息給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Publisher，確認收到訊息。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回應，就會再次發送 Publish。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回應，就會認定訊息沒送到，重傳訊息。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讓訂閱者重複收到相同訊息。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保證訊息會送達，但可能會重複。</w:t>
      </w:r>
    </w:p>
    <w:p w:rsidR="00000000" w:rsidDel="00000000" w:rsidP="00000000" w:rsidRDefault="00000000" w:rsidRPr="00000000" w14:paraId="00000065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0"/>
          <w:numId w:val="9"/>
        </w:numPr>
        <w:shd w:fill="ffffff" w:val="clear"/>
        <w:spacing w:after="0" w:afterAutospacing="0" w:before="0" w:line="335.99999999999994" w:lineRule="auto"/>
        <w:ind w:left="720" w:hanging="360"/>
        <w:rPr>
          <w:b w:val="1"/>
          <w:color w:val="3a3a3a"/>
          <w:sz w:val="27"/>
          <w:szCs w:val="27"/>
          <w:u w:val="none"/>
        </w:rPr>
      </w:pPr>
      <w:bookmarkStart w:colFirst="0" w:colLast="0" w:name="_3vqfjgvyyxm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27"/>
          <w:szCs w:val="27"/>
          <w:rtl w:val="0"/>
        </w:rPr>
        <w:t xml:space="preserve">QoS 2 確實傳送一次（exactly once）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傳訊給 Broker 後，Broker 會回應 PUBREC 訊息給 Publisher，確認收到要發布的訊息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收到 PUBREC 回應時，傳送 PUBREL（釋放發布訊息）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hd w:fill="ffffff" w:val="clear"/>
        <w:spacing w:after="22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Broker 收到 PUBREL，將訊息發布給 Subscriber，並向 Publisher 回報PUBCOMP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總結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0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資料可能會遺失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1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佔用頻寬與傳送時間較少較 Qos 2 少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Subscriber可能會收到重複的訊息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2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不會重覆傳送相同訊息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佔用頻寬與傳送時間較多</w:t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