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00" w:before="60" w:line="240" w:lineRule="auto"/>
        <w:rPr>
          <w:rFonts w:ascii="Courier New" w:cs="Courier New" w:eastAsia="Courier New" w:hAnsi="Courier New"/>
          <w:b w:val="1"/>
          <w:color w:val="434343"/>
          <w:sz w:val="48"/>
          <w:szCs w:val="48"/>
        </w:rPr>
      </w:pPr>
      <w:bookmarkStart w:colFirst="0" w:colLast="0" w:name="_8flmdoa9l4b4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8"/>
          <w:szCs w:val="48"/>
          <w:rtl w:val="0"/>
        </w:rPr>
        <w:t xml:space="preserve">MQTT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gy3ceq9o2bd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36"/>
          <w:szCs w:val="36"/>
        </w:rPr>
      </w:pPr>
      <w:bookmarkStart w:colFirst="0" w:colLast="0" w:name="_f13ukbkb99v6" w:id="2"/>
      <w:bookmarkEnd w:id="2"/>
      <w:r w:rsidDel="00000000" w:rsidR="00000000" w:rsidRPr="00000000">
        <w:rPr>
          <w:rFonts w:ascii="Gungsuh" w:cs="Gungsuh" w:eastAsia="Gungsuh" w:hAnsi="Gungsuh"/>
          <w:b w:val="1"/>
          <w:color w:val="434343"/>
          <w:sz w:val="36"/>
          <w:szCs w:val="36"/>
          <w:rtl w:val="0"/>
        </w:rPr>
        <w:t xml:space="preserve">IoT協議介紹</w:t>
      </w:r>
    </w:p>
    <w:p w:rsidR="00000000" w:rsidDel="00000000" w:rsidP="00000000" w:rsidRDefault="00000000" w:rsidRPr="00000000" w14:paraId="00000004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在物聯網協議中有兩大類: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感知層的協議: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裝置之間的網路及傳輸連接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WiFi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RFID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藍牙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ZigBee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4G / 5G 網路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應用層的協議: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TCP / IP 協定上的裝置通訊協議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b w:val="1"/>
          <w:i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4"/>
          <w:szCs w:val="24"/>
          <w:rtl w:val="0"/>
        </w:rPr>
        <w:t xml:space="preserve">MQTT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CoAP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XMPP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20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AMQP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gi5cpbf4h4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en20hf2iiwko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</w:rPr>
        <w:drawing>
          <wp:inline distB="114300" distT="114300" distL="114300" distR="114300">
            <wp:extent cx="5176838" cy="25794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7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wrvhwpvthfm0" w:id="5"/>
      <w:bookmarkEnd w:id="5"/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簡介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MQTT(Message Queuing Telemetry Transport) 訊息序列遙測傳輸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1999年 IBM 發明。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伺服器與用戶端間的發布與訂閱的訊息傳輸協定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(publish / subscribe 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MQTT 正式變成開放的 OASIS 國際標準。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0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適用於 M2M 和 IoT 環境。</w:t>
      </w:r>
    </w:p>
    <w:p w:rsidR="00000000" w:rsidDel="00000000" w:rsidP="00000000" w:rsidRDefault="00000000" w:rsidRPr="00000000" w14:paraId="0000001B">
      <w:pPr>
        <w:shd w:fill="ffffff" w:val="clear"/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特點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MQTT 好處在於它是一種輕量級協議（為了物聯網而設計的協定）。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網路頻寬很低。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硬體資源低。</w:t>
      </w:r>
    </w:p>
    <w:p w:rsidR="00000000" w:rsidDel="00000000" w:rsidP="00000000" w:rsidRDefault="00000000" w:rsidRPr="00000000" w14:paraId="0000001F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適合用在低功耗和網絡帶寬有限的 IoT 環境，像是：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智慧家電，醫療裝置等等。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ffffff" w:val="clear"/>
        <w:spacing w:after="200" w:line="240" w:lineRule="auto"/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dus10zh02cs0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訊息傳遞原理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使用發佈 (Publish) / 訂閱 (Subscribe) 的機制傳訊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4個主要的元素: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發佈者 (Publisher)。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訂閱者 (Subscriber)。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主題 (Topic)。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轉訊站 (Broker)。</w:t>
      </w:r>
    </w:p>
    <w:p w:rsidR="00000000" w:rsidDel="00000000" w:rsidP="00000000" w:rsidRDefault="00000000" w:rsidRPr="00000000" w14:paraId="00000029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4119563" cy="20084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00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發佈者 (Publisher)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發佈一個主題，傳送給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轉訊站 (Broker)</w:t>
      </w:r>
      <w:r w:rsidDel="00000000" w:rsidR="00000000" w:rsidRPr="00000000">
        <w:rPr>
          <w:rFonts w:ascii="Gungsuh" w:cs="Gungsuh" w:eastAsia="Gungsuh" w:hAnsi="Gungsuh"/>
          <w:color w:val="434343"/>
          <w:sz w:val="18"/>
          <w:szCs w:val="18"/>
          <w:rtl w:val="0"/>
        </w:rPr>
        <w:t xml:space="preserve">，</w:t>
      </w:r>
    </w:p>
    <w:p w:rsidR="00000000" w:rsidDel="00000000" w:rsidP="00000000" w:rsidRDefault="00000000" w:rsidRPr="00000000" w14:paraId="0000002B">
      <w:pPr>
        <w:spacing w:after="200" w:line="240" w:lineRule="auto"/>
        <w:ind w:firstLine="72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由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轉訊站 (Broker)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 轉發給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訂閱者 (Subscriber)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。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072063" cy="285710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85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MQTT 訊息格式、封包格式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訊息格式有三類: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Fix Header (固定格式封包)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05"/>
        <w:gridCol w:w="1005"/>
        <w:gridCol w:w="1005"/>
        <w:gridCol w:w="1005"/>
        <w:gridCol w:w="1005"/>
        <w:gridCol w:w="1005"/>
        <w:gridCol w:w="1005"/>
        <w:gridCol w:w="1005"/>
        <w:tblGridChange w:id="0">
          <w:tblGrid>
            <w:gridCol w:w="1020"/>
            <w:gridCol w:w="1005"/>
            <w:gridCol w:w="1005"/>
            <w:gridCol w:w="1005"/>
            <w:gridCol w:w="1005"/>
            <w:gridCol w:w="1005"/>
            <w:gridCol w:w="1005"/>
            <w:gridCol w:w="100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byte 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Message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DUP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QoS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Retain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byte 2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Remaining Length</w:t>
            </w:r>
          </w:p>
        </w:tc>
      </w:tr>
    </w:tbl>
    <w:p w:rsidR="00000000" w:rsidDel="00000000" w:rsidP="00000000" w:rsidRDefault="00000000" w:rsidRPr="00000000" w14:paraId="0000004C">
      <w:pPr>
        <w:spacing w:after="200" w:before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Message Type為4 bit數字，共16位數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Variable Header (變動格式封包)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Payload (訊息內文)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[ DUP flag：標記此訊息為重複 (duplicate) 的訊息，會用在 PUBLISH、PUBREL、SUBSCRIBE、UNSUBSCRIBE 上。 ]</w:t>
      </w:r>
    </w:p>
    <w:p w:rsidR="00000000" w:rsidDel="00000000" w:rsidP="00000000" w:rsidRDefault="00000000" w:rsidRPr="00000000" w14:paraId="00000050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QoS 級別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MQTT 定義了三個層級的品質設定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QoS 代表：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Publisher 與 Broker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spacing w:after="200" w:line="240" w:lineRule="auto"/>
        <w:ind w:left="216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Broker 與 Subscriber 之間傳輸品質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00" w:line="240" w:lineRule="auto"/>
        <w:ind w:left="720" w:hanging="360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0 最多傳送一次（at most once）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傳訊給 Broker 後直接轉傳給 Subscriber，不會回傳</w:t>
      </w:r>
    </w:p>
    <w:p w:rsidR="00000000" w:rsidDel="00000000" w:rsidP="00000000" w:rsidRDefault="00000000" w:rsidRPr="00000000" w14:paraId="00000059">
      <w:pPr>
        <w:spacing w:after="200" w:before="0" w:line="240" w:lineRule="auto"/>
        <w:ind w:left="1440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確認封包。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QoS 0 就像寄平信，不保證訊息會送達。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="240" w:lineRule="auto"/>
        <w:ind w:left="720" w:hanging="360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1 至少傳送一次（at least once）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傳訊給 Broker 後，Broker 會回應 PUBACK 訊息給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Publisher，確認收到訊息。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沒有收到 PUBACK 回應，就會再次發送 Publish。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沒有收到 PUBACK 回應，就會認定訊息沒送到，重傳訊息。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讓訂閱者重複收到相同訊息。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保證訊息會送達，但可能會重複。</w:t>
      </w:r>
    </w:p>
    <w:p w:rsidR="00000000" w:rsidDel="00000000" w:rsidP="00000000" w:rsidRDefault="00000000" w:rsidRPr="00000000" w14:paraId="00000065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numPr>
          <w:ilvl w:val="0"/>
          <w:numId w:val="9"/>
        </w:numPr>
        <w:shd w:fill="ffffff" w:val="clear"/>
        <w:spacing w:after="0" w:afterAutospacing="0" w:before="0" w:line="335.99999999999994" w:lineRule="auto"/>
        <w:ind w:left="720" w:hanging="360"/>
        <w:rPr>
          <w:b w:val="1"/>
          <w:color w:val="3a3a3a"/>
          <w:sz w:val="27"/>
          <w:szCs w:val="27"/>
          <w:u w:val="none"/>
        </w:rPr>
      </w:pPr>
      <w:bookmarkStart w:colFirst="0" w:colLast="0" w:name="_3vqfjgvyyxm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a3a3a"/>
          <w:sz w:val="27"/>
          <w:szCs w:val="27"/>
          <w:rtl w:val="0"/>
        </w:rPr>
        <w:t xml:space="preserve">QoS 2 確實傳送一次（exactly once）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hd w:fill="ffffff" w:val="clear"/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Publisher 傳訊給 Broker 後，Broker 會回應 PUBREC 訊息給 Publisher，確認收到要發布的訊息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hd w:fill="ffffff" w:val="clear"/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Publisher 收到 PUBREC 回應時，傳送 PUBREL（釋放發布訊息）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hd w:fill="ffffff" w:val="clear"/>
        <w:spacing w:after="22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Broker 收到 PUBREL，將訊息發布給 Subscriber，並向 Publisher 回報PUBCOMP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總結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0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佔用頻寬與傳送時間較少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資料可能會遺失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1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佔用頻寬與傳送時間較少較 Qos 2 少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Subscriber可能會收到重複的訊息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2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不會重覆傳送相同訊息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佔用頻寬與傳送時間較多</w:t>
      </w:r>
    </w:p>
    <w:p w:rsidR="00000000" w:rsidDel="00000000" w:rsidP="00000000" w:rsidRDefault="00000000" w:rsidRPr="00000000" w14:paraId="00000076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