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6C6E" w:rsidRDefault="000215BF">
      <w:pPr>
        <w:pStyle w:val="aa"/>
        <w:jc w:val="center"/>
      </w:pPr>
      <w:r>
        <w:t>Supplementary Experiment Log</w:t>
      </w:r>
      <w:r>
        <w:br/>
        <w:t>4Q Initial-State Activation Scan</w:t>
      </w:r>
    </w:p>
    <w:p w:rsidR="00CA6C6E" w:rsidRDefault="000215BF">
      <w:pPr>
        <w:jc w:val="center"/>
        <w:rPr>
          <w:rFonts w:hint="eastAsia"/>
        </w:rPr>
      </w:pPr>
      <w:r>
        <w:rPr>
          <w:i/>
          <w:color w:val="5A5A5A"/>
        </w:rPr>
        <w:t>Standalone record for the random-product initial-state scan added after the main 4Q/5Q route map</w:t>
      </w:r>
    </w:p>
    <w:p w:rsidR="00CA6C6E" w:rsidRDefault="00CA6C6E">
      <w:pPr>
        <w:rPr>
          <w:rFonts w:hint="eastAsia"/>
        </w:rPr>
      </w:pPr>
    </w:p>
    <w:tbl>
      <w:tblPr>
        <w:tblW w:w="0" w:type="auto"/>
        <w:jc w:val="center"/>
        <w:tblLayout w:type="fixed"/>
        <w:tblLook w:val="04A0" w:firstRow="1" w:lastRow="0" w:firstColumn="1" w:lastColumn="0" w:noHBand="0" w:noVBand="1"/>
      </w:tblPr>
      <w:tblGrid>
        <w:gridCol w:w="2232"/>
        <w:gridCol w:w="7128"/>
      </w:tblGrid>
      <w:tr w:rsidR="00CA6C6E">
        <w:trPr>
          <w:jc w:val="center"/>
        </w:trPr>
        <w:tc>
          <w:tcPr>
            <w:tcW w:w="2232" w:type="dxa"/>
            <w:shd w:val="clear" w:color="auto" w:fill="EAF0FA"/>
            <w:tcMar>
              <w:top w:w="80" w:type="dxa"/>
              <w:left w:w="90" w:type="dxa"/>
              <w:bottom w:w="80" w:type="dxa"/>
              <w:right w:w="90" w:type="dxa"/>
            </w:tcMar>
            <w:vAlign w:val="center"/>
          </w:tcPr>
          <w:p w:rsidR="00CA6C6E" w:rsidRDefault="000215BF">
            <w:pPr>
              <w:rPr>
                <w:rFonts w:hint="eastAsia"/>
              </w:rPr>
            </w:pPr>
            <w:r>
              <w:rPr>
                <w:b/>
              </w:rPr>
              <w:t>Document type</w:t>
            </w:r>
          </w:p>
        </w:tc>
        <w:tc>
          <w:tcPr>
            <w:tcW w:w="7128" w:type="dxa"/>
            <w:shd w:val="clear" w:color="auto" w:fill="F9FBFE"/>
            <w:tcMar>
              <w:top w:w="80" w:type="dxa"/>
              <w:left w:w="90" w:type="dxa"/>
              <w:bottom w:w="80" w:type="dxa"/>
              <w:right w:w="90" w:type="dxa"/>
            </w:tcMar>
            <w:vAlign w:val="center"/>
          </w:tcPr>
          <w:p w:rsidR="00CA6C6E" w:rsidRDefault="000215BF">
            <w:pPr>
              <w:rPr>
                <w:rFonts w:hint="eastAsia"/>
              </w:rPr>
            </w:pPr>
            <w:r>
              <w:t>Supplementary experiment log</w:t>
            </w:r>
          </w:p>
        </w:tc>
      </w:tr>
      <w:tr w:rsidR="00CA6C6E">
        <w:trPr>
          <w:jc w:val="center"/>
        </w:trPr>
        <w:tc>
          <w:tcPr>
            <w:tcW w:w="2232" w:type="dxa"/>
            <w:shd w:val="clear" w:color="auto" w:fill="EAF0FA"/>
            <w:tcMar>
              <w:top w:w="80" w:type="dxa"/>
              <w:left w:w="90" w:type="dxa"/>
              <w:bottom w:w="80" w:type="dxa"/>
              <w:right w:w="90" w:type="dxa"/>
            </w:tcMar>
            <w:vAlign w:val="center"/>
          </w:tcPr>
          <w:p w:rsidR="00CA6C6E" w:rsidRDefault="000215BF">
            <w:pPr>
              <w:rPr>
                <w:rFonts w:hint="eastAsia"/>
              </w:rPr>
            </w:pPr>
            <w:r>
              <w:rPr>
                <w:b/>
              </w:rPr>
              <w:t>Scope</w:t>
            </w:r>
          </w:p>
        </w:tc>
        <w:tc>
          <w:tcPr>
            <w:tcW w:w="7128" w:type="dxa"/>
            <w:shd w:val="clear" w:color="auto" w:fill="F9FBFE"/>
            <w:tcMar>
              <w:top w:w="80" w:type="dxa"/>
              <w:left w:w="90" w:type="dxa"/>
              <w:bottom w:w="80" w:type="dxa"/>
              <w:right w:w="90" w:type="dxa"/>
            </w:tcMar>
            <w:vAlign w:val="center"/>
          </w:tcPr>
          <w:p w:rsidR="00CA6C6E" w:rsidRDefault="000215BF">
            <w:pPr>
              <w:rPr>
                <w:rFonts w:hint="eastAsia"/>
              </w:rPr>
            </w:pPr>
            <w:r>
              <w:t xml:space="preserve">4-qubit initial-state activation scan under </w:t>
            </w:r>
            <w:r>
              <w:t>the fixed-norm Hamiltonian family</w:t>
            </w:r>
          </w:p>
        </w:tc>
      </w:tr>
    </w:tbl>
    <w:p w:rsidR="00CA6C6E" w:rsidRDefault="00CA6C6E">
      <w:pPr>
        <w:rPr>
          <w:rFonts w:hint="eastAsia"/>
        </w:rPr>
      </w:pPr>
    </w:p>
    <w:p w:rsidR="00CA6C6E" w:rsidRDefault="000215BF">
      <w:pPr>
        <w:pStyle w:val="1"/>
      </w:pPr>
      <w:r>
        <w:t>0. Position of this document in the project</w:t>
      </w:r>
    </w:p>
    <w:p w:rsidR="00CA6C6E" w:rsidRDefault="000215BF">
      <w:pPr>
        <w:rPr>
          <w:rFonts w:hint="eastAsia"/>
        </w:rPr>
      </w:pPr>
      <w:r>
        <w:t xml:space="preserve">This document records the supplementary 4-qubit initial-state scan that was introduced after the main route map had already been established. Its purpose is not to replace the </w:t>
      </w:r>
      <w:r>
        <w:t>project’s central story, but to refine the state-activation side of the two-layer framework by asking a more detailed question: for which random product initial states does the state-activated associator diagnostic become informative, and how does that sta</w:t>
      </w:r>
      <w:r>
        <w:t>te-selective entry evolve in time?</w:t>
      </w:r>
    </w:p>
    <w:p w:rsidR="00CA6C6E" w:rsidRDefault="000215BF">
      <w:pPr>
        <w:rPr>
          <w:rFonts w:hint="eastAsia"/>
        </w:rPr>
      </w:pPr>
      <w:r>
        <w:t xml:space="preserve">The project-level interpretation from the main log remains unchanged: higher-order synergy is generated by the non-associative three-edge channel, with observable behavior controlled by a hierarchy between bare algebraic </w:t>
      </w:r>
      <w:r>
        <w:t>capacity and state-activated access to that capacity. The present scan supplements that story by characterizing the access side in a controlled 4Q ensemble.</w:t>
      </w:r>
    </w:p>
    <w:p w:rsidR="00CA6C6E" w:rsidRDefault="000215BF">
      <w:pPr>
        <w:pStyle w:val="21"/>
      </w:pPr>
      <w:r>
        <w:t>Summary of the four retained conclusions</w:t>
      </w:r>
    </w:p>
    <w:tbl>
      <w:tblPr>
        <w:tblStyle w:val="aff1"/>
        <w:tblW w:w="0" w:type="auto"/>
        <w:jc w:val="center"/>
        <w:tblLayout w:type="fixed"/>
        <w:tblLook w:val="04A0" w:firstRow="1" w:lastRow="0" w:firstColumn="1" w:lastColumn="0" w:noHBand="0" w:noVBand="1"/>
      </w:tblPr>
      <w:tblGrid>
        <w:gridCol w:w="3331"/>
        <w:gridCol w:w="3672"/>
        <w:gridCol w:w="4680"/>
      </w:tblGrid>
      <w:tr w:rsidR="00CA6C6E">
        <w:trPr>
          <w:tblHeader/>
          <w:jc w:val="center"/>
        </w:trPr>
        <w:tc>
          <w:tcPr>
            <w:tcW w:w="1080" w:type="dxa"/>
            <w:shd w:val="clear" w:color="auto" w:fill="DCE6F1"/>
            <w:tcMar>
              <w:top w:w="90" w:type="dxa"/>
              <w:left w:w="90" w:type="dxa"/>
              <w:bottom w:w="90" w:type="dxa"/>
              <w:right w:w="90" w:type="dxa"/>
            </w:tcMar>
            <w:vAlign w:val="center"/>
          </w:tcPr>
          <w:p w:rsidR="00CA6C6E" w:rsidRDefault="000215BF">
            <w:pPr>
              <w:rPr>
                <w:rFonts w:hint="eastAsia"/>
              </w:rPr>
            </w:pPr>
            <w:r>
              <w:rPr>
                <w:b/>
              </w:rPr>
              <w:t>Rank</w:t>
            </w:r>
          </w:p>
        </w:tc>
        <w:tc>
          <w:tcPr>
            <w:tcW w:w="3672" w:type="dxa"/>
            <w:shd w:val="clear" w:color="auto" w:fill="DCE6F1"/>
            <w:tcMar>
              <w:top w:w="90" w:type="dxa"/>
              <w:left w:w="90" w:type="dxa"/>
              <w:bottom w:w="90" w:type="dxa"/>
              <w:right w:w="90" w:type="dxa"/>
            </w:tcMar>
            <w:vAlign w:val="center"/>
          </w:tcPr>
          <w:p w:rsidR="00CA6C6E" w:rsidRDefault="000215BF">
            <w:pPr>
              <w:rPr>
                <w:rFonts w:hint="eastAsia"/>
              </w:rPr>
            </w:pPr>
            <w:r>
              <w:rPr>
                <w:b/>
              </w:rPr>
              <w:t>Conclusion</w:t>
            </w:r>
          </w:p>
        </w:tc>
        <w:tc>
          <w:tcPr>
            <w:tcW w:w="4680" w:type="dxa"/>
            <w:shd w:val="clear" w:color="auto" w:fill="DCE6F1"/>
            <w:tcMar>
              <w:top w:w="90" w:type="dxa"/>
              <w:left w:w="90" w:type="dxa"/>
              <w:bottom w:w="90" w:type="dxa"/>
              <w:right w:w="90" w:type="dxa"/>
            </w:tcMar>
            <w:vAlign w:val="center"/>
          </w:tcPr>
          <w:p w:rsidR="00CA6C6E" w:rsidRDefault="000215BF">
            <w:pPr>
              <w:rPr>
                <w:rFonts w:hint="eastAsia"/>
              </w:rPr>
            </w:pPr>
            <w:r>
              <w:rPr>
                <w:b/>
              </w:rPr>
              <w:t>Role in the project story</w:t>
            </w:r>
          </w:p>
        </w:tc>
      </w:tr>
      <w:tr w:rsidR="00CA6C6E">
        <w:trPr>
          <w:jc w:val="center"/>
        </w:trPr>
        <w:tc>
          <w:tcPr>
            <w:tcW w:w="3331" w:type="dxa"/>
            <w:shd w:val="clear" w:color="auto" w:fill="F3F6FB"/>
            <w:tcMar>
              <w:top w:w="90" w:type="dxa"/>
              <w:left w:w="90" w:type="dxa"/>
              <w:bottom w:w="90" w:type="dxa"/>
              <w:right w:w="90" w:type="dxa"/>
            </w:tcMar>
            <w:vAlign w:val="center"/>
          </w:tcPr>
          <w:p w:rsidR="00CA6C6E" w:rsidRDefault="000215BF">
            <w:pPr>
              <w:rPr>
                <w:rFonts w:hint="eastAsia"/>
              </w:rPr>
            </w:pPr>
            <w:r>
              <w:t>1</w:t>
            </w:r>
          </w:p>
        </w:tc>
        <w:tc>
          <w:tcPr>
            <w:tcW w:w="3331" w:type="dxa"/>
            <w:tcMar>
              <w:top w:w="90" w:type="dxa"/>
              <w:left w:w="90" w:type="dxa"/>
              <w:bottom w:w="90" w:type="dxa"/>
              <w:right w:w="90" w:type="dxa"/>
            </w:tcMar>
            <w:vAlign w:val="center"/>
          </w:tcPr>
          <w:p w:rsidR="00CA6C6E" w:rsidRDefault="000215BF">
            <w:pPr>
              <w:rPr>
                <w:rFonts w:hint="eastAsia"/>
              </w:rPr>
            </w:pPr>
            <w:r>
              <w:t>The effective</w:t>
            </w:r>
            <w:r>
              <w:t xml:space="preserve"> domain of J_rho,exp is endogenously quantifiable.</w:t>
            </w:r>
          </w:p>
        </w:tc>
        <w:tc>
          <w:tcPr>
            <w:tcW w:w="3331" w:type="dxa"/>
            <w:tcMar>
              <w:top w:w="90" w:type="dxa"/>
              <w:left w:w="90" w:type="dxa"/>
              <w:bottom w:w="90" w:type="dxa"/>
              <w:right w:w="90" w:type="dxa"/>
            </w:tcMar>
            <w:vAlign w:val="center"/>
          </w:tcPr>
          <w:p w:rsidR="00CA6C6E" w:rsidRDefault="000215BF">
            <w:pPr>
              <w:rPr>
                <w:rFonts w:hint="eastAsia"/>
              </w:rPr>
            </w:pPr>
            <w:r>
              <w:t>State-activated access does not merely generate HOI; it also predicts where its own diagnostic power will be strongest.</w:t>
            </w:r>
          </w:p>
        </w:tc>
      </w:tr>
      <w:tr w:rsidR="00CA6C6E">
        <w:trPr>
          <w:jc w:val="center"/>
        </w:trPr>
        <w:tc>
          <w:tcPr>
            <w:tcW w:w="3331" w:type="dxa"/>
            <w:shd w:val="clear" w:color="auto" w:fill="F3F6FB"/>
            <w:tcMar>
              <w:top w:w="90" w:type="dxa"/>
              <w:left w:w="90" w:type="dxa"/>
              <w:bottom w:w="90" w:type="dxa"/>
              <w:right w:w="90" w:type="dxa"/>
            </w:tcMar>
            <w:vAlign w:val="center"/>
          </w:tcPr>
          <w:p w:rsidR="00CA6C6E" w:rsidRDefault="000215BF">
            <w:pPr>
              <w:rPr>
                <w:rFonts w:hint="eastAsia"/>
              </w:rPr>
            </w:pPr>
            <w:r>
              <w:t>2</w:t>
            </w:r>
          </w:p>
        </w:tc>
        <w:tc>
          <w:tcPr>
            <w:tcW w:w="3331" w:type="dxa"/>
            <w:tcMar>
              <w:top w:w="90" w:type="dxa"/>
              <w:left w:w="90" w:type="dxa"/>
              <w:bottom w:w="90" w:type="dxa"/>
              <w:right w:w="90" w:type="dxa"/>
            </w:tcMar>
            <w:vAlign w:val="center"/>
          </w:tcPr>
          <w:p w:rsidR="00CA6C6E" w:rsidRDefault="000215BF">
            <w:pPr>
              <w:rPr>
                <w:rFonts w:hint="eastAsia"/>
              </w:rPr>
            </w:pPr>
            <w:r>
              <w:t>4Q ensemble averaging and 5Q self-averaging are two slices of the same fluctuation</w:t>
            </w:r>
            <w:r>
              <w:t>-suppression mechanism.</w:t>
            </w:r>
          </w:p>
        </w:tc>
        <w:tc>
          <w:tcPr>
            <w:tcW w:w="3331" w:type="dxa"/>
            <w:tcMar>
              <w:top w:w="90" w:type="dxa"/>
              <w:left w:w="90" w:type="dxa"/>
              <w:bottom w:w="90" w:type="dxa"/>
              <w:right w:w="90" w:type="dxa"/>
            </w:tcMar>
            <w:vAlign w:val="center"/>
          </w:tcPr>
          <w:p w:rsidR="00CA6C6E" w:rsidRDefault="000215BF">
            <w:pPr>
              <w:rPr>
                <w:rFonts w:hint="eastAsia"/>
              </w:rPr>
            </w:pPr>
            <w:r>
              <w:t>Averaging across multiple channels suppresses fluctuations and allows bare structural capacity to become informative earlier.</w:t>
            </w:r>
          </w:p>
        </w:tc>
      </w:tr>
      <w:tr w:rsidR="00CA6C6E">
        <w:trPr>
          <w:jc w:val="center"/>
        </w:trPr>
        <w:tc>
          <w:tcPr>
            <w:tcW w:w="3331" w:type="dxa"/>
            <w:shd w:val="clear" w:color="auto" w:fill="F3F6FB"/>
            <w:tcMar>
              <w:top w:w="90" w:type="dxa"/>
              <w:left w:w="90" w:type="dxa"/>
              <w:bottom w:w="90" w:type="dxa"/>
              <w:right w:w="90" w:type="dxa"/>
            </w:tcMar>
            <w:vAlign w:val="center"/>
          </w:tcPr>
          <w:p w:rsidR="00CA6C6E" w:rsidRDefault="000215BF">
            <w:pPr>
              <w:rPr>
                <w:rFonts w:hint="eastAsia"/>
              </w:rPr>
            </w:pPr>
            <w:r>
              <w:t>3</w:t>
            </w:r>
          </w:p>
        </w:tc>
        <w:tc>
          <w:tcPr>
            <w:tcW w:w="3331" w:type="dxa"/>
            <w:tcMar>
              <w:top w:w="90" w:type="dxa"/>
              <w:left w:w="90" w:type="dxa"/>
              <w:bottom w:w="90" w:type="dxa"/>
              <w:right w:w="90" w:type="dxa"/>
            </w:tcMar>
            <w:vAlign w:val="center"/>
          </w:tcPr>
          <w:p w:rsidR="00CA6C6E" w:rsidRDefault="000215BF">
            <w:pPr>
              <w:rPr>
                <w:rFonts w:hint="eastAsia"/>
              </w:rPr>
            </w:pPr>
            <w:r>
              <w:t>Late-time structural predictivity of J_tot is ensemble-robust.</w:t>
            </w:r>
          </w:p>
        </w:tc>
        <w:tc>
          <w:tcPr>
            <w:tcW w:w="3331" w:type="dxa"/>
            <w:tcMar>
              <w:top w:w="90" w:type="dxa"/>
              <w:left w:w="90" w:type="dxa"/>
              <w:bottom w:w="90" w:type="dxa"/>
              <w:right w:w="90" w:type="dxa"/>
            </w:tcMar>
            <w:vAlign w:val="center"/>
          </w:tcPr>
          <w:p w:rsidR="00CA6C6E" w:rsidRDefault="000215BF">
            <w:pPr>
              <w:rPr>
                <w:rFonts w:hint="eastAsia"/>
              </w:rPr>
            </w:pPr>
            <w:r>
              <w:t xml:space="preserve">The role of bare capacity at late times </w:t>
            </w:r>
            <w:r>
              <w:t>is not a pointwise accident but a stable property across many random product initial states.</w:t>
            </w:r>
          </w:p>
        </w:tc>
      </w:tr>
      <w:tr w:rsidR="00CA6C6E">
        <w:trPr>
          <w:jc w:val="center"/>
        </w:trPr>
        <w:tc>
          <w:tcPr>
            <w:tcW w:w="3331" w:type="dxa"/>
            <w:shd w:val="clear" w:color="auto" w:fill="F3F6FB"/>
            <w:tcMar>
              <w:top w:w="90" w:type="dxa"/>
              <w:left w:w="90" w:type="dxa"/>
              <w:bottom w:w="90" w:type="dxa"/>
              <w:right w:w="90" w:type="dxa"/>
            </w:tcMar>
            <w:vAlign w:val="center"/>
          </w:tcPr>
          <w:p w:rsidR="00CA6C6E" w:rsidRDefault="000215BF">
            <w:pPr>
              <w:rPr>
                <w:rFonts w:hint="eastAsia"/>
              </w:rPr>
            </w:pPr>
            <w:r>
              <w:t>4</w:t>
            </w:r>
          </w:p>
        </w:tc>
        <w:tc>
          <w:tcPr>
            <w:tcW w:w="3331" w:type="dxa"/>
            <w:tcMar>
              <w:top w:w="90" w:type="dxa"/>
              <w:left w:w="90" w:type="dxa"/>
              <w:bottom w:w="90" w:type="dxa"/>
              <w:right w:w="90" w:type="dxa"/>
            </w:tcMar>
            <w:vAlign w:val="center"/>
          </w:tcPr>
          <w:p w:rsidR="00CA6C6E" w:rsidRDefault="000215BF">
            <w:pPr>
              <w:rPr>
                <w:rFonts w:hint="eastAsia"/>
              </w:rPr>
            </w:pPr>
            <w:r>
              <w:t>Entry into the activation window is controlled by effective alignment between the initial state and the associator channel.</w:t>
            </w:r>
          </w:p>
        </w:tc>
        <w:tc>
          <w:tcPr>
            <w:tcW w:w="3331" w:type="dxa"/>
            <w:tcMar>
              <w:top w:w="90" w:type="dxa"/>
              <w:left w:w="90" w:type="dxa"/>
              <w:bottom w:w="90" w:type="dxa"/>
              <w:right w:w="90" w:type="dxa"/>
            </w:tcMar>
            <w:vAlign w:val="center"/>
          </w:tcPr>
          <w:p w:rsidR="00CA6C6E" w:rsidRDefault="000215BF">
            <w:pPr>
              <w:rPr>
                <w:rFonts w:hint="eastAsia"/>
              </w:rPr>
            </w:pPr>
            <w:r>
              <w:t xml:space="preserve">This is the ensemble-level </w:t>
            </w:r>
            <w:r>
              <w:t>macroscopic manifestation of the state-activated mechanism.</w:t>
            </w:r>
          </w:p>
        </w:tc>
      </w:tr>
    </w:tbl>
    <w:p w:rsidR="00CA6C6E" w:rsidRDefault="00CA6C6E">
      <w:pPr>
        <w:rPr>
          <w:rFonts w:hint="eastAsia"/>
        </w:rPr>
      </w:pPr>
    </w:p>
    <w:p w:rsidR="00CA6C6E" w:rsidRDefault="000215BF">
      <w:pPr>
        <w:pStyle w:val="1"/>
      </w:pPr>
      <w:r>
        <w:lastRenderedPageBreak/>
        <w:t>1. Experimental objective</w:t>
      </w:r>
    </w:p>
    <w:p w:rsidR="00CA6C6E" w:rsidRDefault="000215BF">
      <w:pPr>
        <w:rPr>
          <w:rFonts w:hint="eastAsia"/>
        </w:rPr>
      </w:pPr>
      <w:r>
        <w:t>The scan was designed to answer three linked questions. First, whether entry into the activation regime is generic or state-selective across random product initial stat</w:t>
      </w:r>
      <w:r>
        <w:t>es. Second, whether the quality of the J_rho,exp diagnostic can be predicted from the same early-time dynamics that generate stronger higher-order information. Third, whether ensemble averaging across many initial states reveals the same fluctuation-suppre</w:t>
      </w:r>
      <w:r>
        <w:t>ssion principle that appears in the 5-qubit tetrahedral self-averaging story.</w:t>
      </w:r>
    </w:p>
    <w:p w:rsidR="00CA6C6E" w:rsidRDefault="000215BF">
      <w:pPr>
        <w:pStyle w:val="1"/>
      </w:pPr>
      <w:r>
        <w:t>2. Setup and numerical procedure</w:t>
      </w:r>
    </w:p>
    <w:p w:rsidR="00CA6C6E" w:rsidRDefault="000215BF">
      <w:pPr>
        <w:pStyle w:val="21"/>
      </w:pPr>
      <w:r>
        <w:t>2.1 Physical setup</w:t>
      </w:r>
    </w:p>
    <w:p w:rsidR="00CA6C6E" w:rsidRDefault="000215BF">
      <w:pPr>
        <w:rPr>
          <w:rFonts w:hint="eastAsia"/>
        </w:rPr>
      </w:pPr>
      <w:r>
        <w:t>The underlying dynamical model is the same 4-qubit triangle-plus-auxiliary configuration used in the main 4Q closed-system ben</w:t>
      </w:r>
      <w:r>
        <w:t>chmark. For each sampled initial condition, the Hamiltonian family is scanned on the same fixed (theta, phi) grid so that cross-state comparisons are made on an identical parameter ensemble rather than on different Hamiltonian samples.</w:t>
      </w:r>
    </w:p>
    <w:p w:rsidR="00CA6C6E" w:rsidRDefault="000215BF">
      <w:pPr>
        <w:pStyle w:val="21"/>
      </w:pPr>
      <w:r>
        <w:t>2.2 Initial states</w:t>
      </w:r>
    </w:p>
    <w:p w:rsidR="00CA6C6E" w:rsidRDefault="000215BF">
      <w:pPr>
        <w:rPr>
          <w:rFonts w:hint="eastAsia"/>
        </w:rPr>
      </w:pPr>
      <w:r>
        <w:t>T</w:t>
      </w:r>
      <w:r>
        <w:t>he final run used 20 sampled random product initial states of the form |psi_A&gt; ⊗ |psi_B&gt; ⊗ |psi_C&gt; ⊗ |0&gt;. The same sampled states were reused across all time slices so that time dependence reflects dynamical evolution rather than a change in the state pool</w:t>
      </w:r>
      <w:r>
        <w:t>.</w:t>
      </w:r>
    </w:p>
    <w:p w:rsidR="00CA6C6E" w:rsidRDefault="000215BF">
      <w:pPr>
        <w:pStyle w:val="21"/>
      </w:pPr>
      <w:r>
        <w:t>2.3 Time sampling and observables</w:t>
      </w:r>
    </w:p>
    <w:p w:rsidR="00CA6C6E" w:rsidRDefault="000215BF">
      <w:pPr>
        <w:rPr>
          <w:rFonts w:hint="eastAsia"/>
        </w:rPr>
      </w:pPr>
      <w:r>
        <w:t>The current final run used an 11-point time grid spanning early to late evolution. Representative plotted times include t = 0.10, 0.20, 0.50, and 1.00. For each sampled state and each time slice, the scan records the wit</w:t>
      </w:r>
      <w:r>
        <w:t>hin-state quality of several candidate diagnostics against I3_minus. The present document focuses on J_rho,exp and J_tot, because these are the two quantities directly tied to the project’s two-layer interpretation.</w:t>
      </w:r>
    </w:p>
    <w:p w:rsidR="00CA6C6E" w:rsidRDefault="000215BF">
      <w:pPr>
        <w:pStyle w:val="21"/>
      </w:pPr>
      <w:r>
        <w:t>2.4 Two levels of analysis</w:t>
      </w:r>
    </w:p>
    <w:p w:rsidR="00CA6C6E" w:rsidRDefault="000215BF">
      <w:pPr>
        <w:rPr>
          <w:rFonts w:hint="eastAsia"/>
        </w:rPr>
      </w:pPr>
      <w:r>
        <w:t>Two levels of</w:t>
      </w:r>
      <w:r>
        <w:t xml:space="preserve"> analysis were performed. On the within-state level, Pearson and Spearman correlations between each diagnostic and I3_minus were computed across the full Hamiltonian grid. On the cross-state level, the ensemble was summarized by medians and IQRs across the</w:t>
      </w:r>
      <w:r>
        <w:t xml:space="preserve"> 20 sampled states, and by correlating (I3−)_max with the within-state quality of J_rho,exp. This separation is important: one level measures how well a diagnostic organizes the Hamiltonian scan for a fixed state, while the other measures which initial sta</w:t>
      </w:r>
      <w:r>
        <w:t>tes preferentially enter the activation regime.</w:t>
      </w:r>
    </w:p>
    <w:p w:rsidR="00CA6C6E" w:rsidRDefault="000215BF">
      <w:pPr>
        <w:pStyle w:val="1"/>
      </w:pPr>
      <w:r>
        <w:t>3. Main conclusions retained from this supplementary scan</w:t>
      </w:r>
    </w:p>
    <w:p w:rsidR="00CA6C6E" w:rsidRDefault="000215BF">
      <w:pPr>
        <w:pStyle w:val="21"/>
      </w:pPr>
      <w:r>
        <w:t>3.1 The effective domain of J_rho,exp is endogenously quantifiable</w:t>
      </w:r>
    </w:p>
    <w:p w:rsidR="00CA6C6E" w:rsidRDefault="000215BF">
      <w:pPr>
        <w:rPr>
          <w:rFonts w:hint="eastAsia"/>
        </w:rPr>
      </w:pPr>
      <w:r>
        <w:t xml:space="preserve">This is the strongest conclusion of the scan. Across the 20 sampled random product </w:t>
      </w:r>
      <w:r>
        <w:t xml:space="preserve">initial states, the cross-state relation between (I3−)_max and the within-state quality of J_rho,exp is already strong at the earliest plotted time. At t = 0.10, the cross-state relation reaches Pearson ≈ 0.78 and Spearman ≈ 0.82. The same state-dependent </w:t>
      </w:r>
      <w:r>
        <w:t xml:space="preserve">factor therefore controls both how efficiently higher-order information is generated and how informative J_rho,exp becomes as a diagnostic. In this sense, the state-activated mechanism does not merely predict HOI generation; it also predicts the domain in </w:t>
      </w:r>
      <w:r>
        <w:t>which its own diagnostic channel is expected to work best.</w:t>
      </w:r>
    </w:p>
    <w:p w:rsidR="00CA6C6E" w:rsidRDefault="000215BF">
      <w:pPr>
        <w:pStyle w:val="21"/>
      </w:pPr>
      <w:r>
        <w:t>3.2 4Q ensemble averaging and 5Q self-averaging are two slices of the same mechanism</w:t>
      </w:r>
    </w:p>
    <w:p w:rsidR="00CA6C6E" w:rsidRDefault="000215BF">
      <w:pPr>
        <w:rPr>
          <w:rFonts w:hint="eastAsia"/>
        </w:rPr>
      </w:pPr>
      <w:r>
        <w:t>The ensemble view upgrades the interpretation of the 4Q scan. In the 5Q tetrahedral story, averaging over four f</w:t>
      </w:r>
      <w:r>
        <w:t xml:space="preserve">aces suppresses fluctuations and allows J_tot to acquire predictive power earlier. The present 4Q ensemble shows an </w:t>
      </w:r>
      <w:r>
        <w:lastRenderedPageBreak/>
        <w:t xml:space="preserve">analogous effect: after summarizing over 20 random product initial states, J_tot is already more stable than J_rho,exp at the earliest time </w:t>
      </w:r>
      <w:r>
        <w:t>slices. For example, at t = 0.10 the ensemble median of r(J_tot, I3_minus) is about +0.23, whereas the ensemble median of r(J_rho,exp, I3_minus) is only about +0.05, while the IQR of J_rho,exp remains very broad (about 0.695). The physical interpretation i</w:t>
      </w:r>
      <w:r>
        <w:t>s the same in both systems: averaging across multiple effective channels suppresses fluctuations and makes the bare structural-capacity signal easier to see.</w:t>
      </w:r>
    </w:p>
    <w:p w:rsidR="00CA6C6E" w:rsidRDefault="000215BF">
      <w:pPr>
        <w:pStyle w:val="21"/>
      </w:pPr>
      <w:r>
        <w:t>3.3 Late-time structural predictivity of J_tot is ensemble-robust</w:t>
      </w:r>
    </w:p>
    <w:p w:rsidR="00CA6C6E" w:rsidRDefault="000215BF">
      <w:pPr>
        <w:rPr>
          <w:rFonts w:hint="eastAsia"/>
        </w:rPr>
      </w:pPr>
      <w:r>
        <w:t>The late-time rise of J_tot is n</w:t>
      </w:r>
      <w:r>
        <w:t>ot a pointwise curiosity. The ensemble data show that the bare-capacity channel becomes a broadly valid structural predictor across most random product initial states. At t = 0.80, roughly 80% of the sampled states satisfy r(J_tot, I3_minus) &gt; 0.3, with th</w:t>
      </w:r>
      <w:r>
        <w:t>e IQR already narrowed to about [0.38, 0.59] and the median near +0.49. This is the ensemble-level version of the main-log statement that, at late times, bare capacity behaves as a time-robust structural predictor.</w:t>
      </w:r>
    </w:p>
    <w:p w:rsidR="00CA6C6E" w:rsidRDefault="000215BF">
      <w:pPr>
        <w:pStyle w:val="21"/>
      </w:pPr>
      <w:r>
        <w:t>3.4 Entry into the activation window is c</w:t>
      </w:r>
      <w:r>
        <w:t>ontrolled by effective alignment</w:t>
      </w:r>
    </w:p>
    <w:p w:rsidR="00CA6C6E" w:rsidRDefault="000215BF">
      <w:pPr>
        <w:rPr>
          <w:rFonts w:hint="eastAsia"/>
        </w:rPr>
      </w:pPr>
      <w:r>
        <w:t xml:space="preserve">The random product ensemble does not behave as a featureless background. Some states enter the activation window efficiently, while others do not. The most natural interpretation is that access to the activation regime is </w:t>
      </w:r>
      <w:r>
        <w:t xml:space="preserve">controlled by the effective alignment between the initial state and the associator channel. This statement should be read as a mechanism-level interpretation rather than as the direct measurement of a separately defined alignment observable. Nevertheless, </w:t>
      </w:r>
      <w:r>
        <w:t>the ensemble data make the qualitative message clear: state selectivity is not noise, but the macroscopic manifestation of the state-activated access channel.</w:t>
      </w:r>
    </w:p>
    <w:p w:rsidR="00CA6C6E" w:rsidRDefault="000215BF">
      <w:pPr>
        <w:pStyle w:val="1"/>
      </w:pPr>
      <w:r>
        <w:t>4. Interpretation within the main project storyline</w:t>
      </w:r>
    </w:p>
    <w:p w:rsidR="00CA6C6E" w:rsidRDefault="000215BF">
      <w:pPr>
        <w:rPr>
          <w:rFonts w:hint="eastAsia"/>
        </w:rPr>
      </w:pPr>
      <w:r>
        <w:t xml:space="preserve">The supplementary 4Q scan should be </w:t>
      </w:r>
      <w:r>
        <w:t>interpreted together with three project-level results already established elsewhere in the main log. First, the 4Q time-resolved crossover shows that early dynamics is more closely tied to the state-activated channel, whereas later times increasingly revea</w:t>
      </w:r>
      <w:r>
        <w:t>l the structural role of J_tot. Second, the exact-null ablation demonstrates that removing the non-associative channel collapses early-time higher-order synergy even while pairwise dynamics remains active. Third, the 5Q tetrahedral extension shows that ric</w:t>
      </w:r>
      <w:r>
        <w:t>her topology and self-averaging can make the bare-capacity signal informative earlier. The present initial-state scan does not replace those results; it explains how the access side of the two-layer hierarchy is distributed across an ensemble of admissible</w:t>
      </w:r>
      <w:r>
        <w:t xml:space="preserve"> 4Q starts.</w:t>
      </w:r>
    </w:p>
    <w:p w:rsidR="00CA6C6E" w:rsidRDefault="000215BF">
      <w:pPr>
        <w:rPr>
          <w:rFonts w:hint="eastAsia"/>
        </w:rPr>
      </w:pPr>
      <w:r>
        <w:t>This also clarifies an apparent tension in the raw figures. Higher-order signal strength, measured by (I3−)_max, continues to grow at later times, but the state-selective power of J_rho,exp does not continue to improve. That behavior is expecte</w:t>
      </w:r>
      <w:r>
        <w:t>d. As the dynamics scrambles the state, dependence on the fine details of the initial condition is reduced, and the bare structural channel becomes increasingly visible. The scan therefore supports the picture that early time is access-sensitive, while lat</w:t>
      </w:r>
      <w:r>
        <w:t>er time is capacity-revealing.</w:t>
      </w:r>
    </w:p>
    <w:p w:rsidR="00CA6C6E" w:rsidRDefault="000215BF">
      <w:pPr>
        <w:pStyle w:val="1"/>
      </w:pPr>
      <w:r>
        <w:t>5. Suggested figure packaging for SI</w:t>
      </w:r>
    </w:p>
    <w:p w:rsidR="00CA6C6E" w:rsidRDefault="000215BF">
      <w:pPr>
        <w:pStyle w:val="21"/>
      </w:pPr>
      <w:r>
        <w:t>Two figures are sufficient for this supplementary route.</w:t>
      </w:r>
    </w:p>
    <w:tbl>
      <w:tblPr>
        <w:tblStyle w:val="aff1"/>
        <w:tblW w:w="0" w:type="auto"/>
        <w:jc w:val="center"/>
        <w:tblLayout w:type="fixed"/>
        <w:tblLook w:val="04A0" w:firstRow="1" w:lastRow="0" w:firstColumn="1" w:lastColumn="0" w:noHBand="0" w:noVBand="1"/>
      </w:tblPr>
      <w:tblGrid>
        <w:gridCol w:w="1152"/>
        <w:gridCol w:w="2736"/>
        <w:gridCol w:w="5400"/>
      </w:tblGrid>
      <w:tr w:rsidR="00CA6C6E">
        <w:trPr>
          <w:tblHeader/>
          <w:jc w:val="center"/>
        </w:trPr>
        <w:tc>
          <w:tcPr>
            <w:tcW w:w="1152" w:type="dxa"/>
            <w:shd w:val="clear" w:color="auto" w:fill="DCE6F1"/>
            <w:tcMar>
              <w:top w:w="80" w:type="dxa"/>
              <w:left w:w="90" w:type="dxa"/>
              <w:bottom w:w="80" w:type="dxa"/>
              <w:right w:w="90" w:type="dxa"/>
            </w:tcMar>
          </w:tcPr>
          <w:p w:rsidR="00CA6C6E" w:rsidRDefault="000215BF">
            <w:pPr>
              <w:rPr>
                <w:rFonts w:hint="eastAsia"/>
              </w:rPr>
            </w:pPr>
            <w:r>
              <w:rPr>
                <w:b/>
              </w:rPr>
              <w:t>Figure</w:t>
            </w:r>
          </w:p>
        </w:tc>
        <w:tc>
          <w:tcPr>
            <w:tcW w:w="2736" w:type="dxa"/>
            <w:shd w:val="clear" w:color="auto" w:fill="DCE6F1"/>
            <w:tcMar>
              <w:top w:w="80" w:type="dxa"/>
              <w:left w:w="90" w:type="dxa"/>
              <w:bottom w:w="80" w:type="dxa"/>
              <w:right w:w="90" w:type="dxa"/>
            </w:tcMar>
          </w:tcPr>
          <w:p w:rsidR="00CA6C6E" w:rsidRDefault="000215BF">
            <w:pPr>
              <w:rPr>
                <w:rFonts w:hint="eastAsia"/>
              </w:rPr>
            </w:pPr>
            <w:r>
              <w:rPr>
                <w:b/>
              </w:rPr>
              <w:t>Recommended content</w:t>
            </w:r>
          </w:p>
        </w:tc>
        <w:tc>
          <w:tcPr>
            <w:tcW w:w="5400" w:type="dxa"/>
            <w:shd w:val="clear" w:color="auto" w:fill="DCE6F1"/>
            <w:tcMar>
              <w:top w:w="80" w:type="dxa"/>
              <w:left w:w="90" w:type="dxa"/>
              <w:bottom w:w="80" w:type="dxa"/>
              <w:right w:w="90" w:type="dxa"/>
            </w:tcMar>
          </w:tcPr>
          <w:p w:rsidR="00CA6C6E" w:rsidRDefault="000215BF">
            <w:pPr>
              <w:rPr>
                <w:rFonts w:hint="eastAsia"/>
              </w:rPr>
            </w:pPr>
            <w:r>
              <w:rPr>
                <w:b/>
              </w:rPr>
              <w:t>Main message</w:t>
            </w:r>
          </w:p>
        </w:tc>
      </w:tr>
      <w:tr w:rsidR="00CA6C6E">
        <w:trPr>
          <w:jc w:val="center"/>
        </w:trPr>
        <w:tc>
          <w:tcPr>
            <w:tcW w:w="1152" w:type="dxa"/>
            <w:shd w:val="clear" w:color="auto" w:fill="F3F6FB"/>
            <w:tcMar>
              <w:top w:w="70" w:type="dxa"/>
              <w:left w:w="85" w:type="dxa"/>
              <w:bottom w:w="70" w:type="dxa"/>
              <w:right w:w="85" w:type="dxa"/>
            </w:tcMar>
            <w:vAlign w:val="center"/>
          </w:tcPr>
          <w:p w:rsidR="00CA6C6E" w:rsidRDefault="000215BF">
            <w:pPr>
              <w:rPr>
                <w:rFonts w:hint="eastAsia"/>
              </w:rPr>
            </w:pPr>
            <w:r>
              <w:t>Sx</w:t>
            </w:r>
          </w:p>
        </w:tc>
        <w:tc>
          <w:tcPr>
            <w:tcW w:w="2736" w:type="dxa"/>
            <w:tcMar>
              <w:top w:w="70" w:type="dxa"/>
              <w:left w:w="85" w:type="dxa"/>
              <w:bottom w:w="70" w:type="dxa"/>
              <w:right w:w="85" w:type="dxa"/>
            </w:tcMar>
            <w:vAlign w:val="center"/>
          </w:tcPr>
          <w:p w:rsidR="00CA6C6E" w:rsidRDefault="000215BF">
            <w:pPr>
              <w:rPr>
                <w:rFonts w:hint="eastAsia"/>
              </w:rPr>
            </w:pPr>
            <w:r>
              <w:t>3 panels: median+IQR of r(J_rho,exp, I3_minus) and r(J_tot, I3_minus); IQR-width panel;</w:t>
            </w:r>
            <w:r>
              <w:t xml:space="preserve"> median+IQR of (I3−)_max.</w:t>
            </w:r>
          </w:p>
        </w:tc>
        <w:tc>
          <w:tcPr>
            <w:tcW w:w="5400" w:type="dxa"/>
            <w:tcMar>
              <w:top w:w="70" w:type="dxa"/>
              <w:left w:w="85" w:type="dxa"/>
              <w:bottom w:w="70" w:type="dxa"/>
              <w:right w:w="85" w:type="dxa"/>
            </w:tcMar>
            <w:vAlign w:val="center"/>
          </w:tcPr>
          <w:p w:rsidR="00CA6C6E" w:rsidRDefault="000215BF">
            <w:pPr>
              <w:rPr>
                <w:rFonts w:hint="eastAsia"/>
              </w:rPr>
            </w:pPr>
            <w:r>
              <w:t>Shows early access sensitivity, ensemble stabilization of J_tot, and continued HOI growth on the same time axis.</w:t>
            </w:r>
          </w:p>
        </w:tc>
      </w:tr>
      <w:tr w:rsidR="00CA6C6E">
        <w:trPr>
          <w:jc w:val="center"/>
        </w:trPr>
        <w:tc>
          <w:tcPr>
            <w:tcW w:w="1152" w:type="dxa"/>
            <w:shd w:val="clear" w:color="auto" w:fill="F3F6FB"/>
            <w:tcMar>
              <w:top w:w="70" w:type="dxa"/>
              <w:left w:w="85" w:type="dxa"/>
              <w:bottom w:w="70" w:type="dxa"/>
              <w:right w:w="85" w:type="dxa"/>
            </w:tcMar>
            <w:vAlign w:val="center"/>
          </w:tcPr>
          <w:p w:rsidR="00CA6C6E" w:rsidRDefault="000215BF">
            <w:pPr>
              <w:rPr>
                <w:rFonts w:hint="eastAsia"/>
              </w:rPr>
            </w:pPr>
            <w:r>
              <w:t>Sy</w:t>
            </w:r>
          </w:p>
        </w:tc>
        <w:tc>
          <w:tcPr>
            <w:tcW w:w="2736" w:type="dxa"/>
            <w:tcMar>
              <w:top w:w="70" w:type="dxa"/>
              <w:left w:w="85" w:type="dxa"/>
              <w:bottom w:w="70" w:type="dxa"/>
              <w:right w:w="85" w:type="dxa"/>
            </w:tcMar>
            <w:vAlign w:val="center"/>
          </w:tcPr>
          <w:p w:rsidR="00CA6C6E" w:rsidRDefault="000215BF">
            <w:pPr>
              <w:rPr>
                <w:rFonts w:hint="eastAsia"/>
              </w:rPr>
            </w:pPr>
            <w:r>
              <w:t xml:space="preserve">2×4 scatter at t = 0.10, 0.20, </w:t>
            </w:r>
            <w:r>
              <w:lastRenderedPageBreak/>
              <w:t>0.50, 1.00, with (I3−)_max on the x-axis and J_rho,exp quality on the y-axis.</w:t>
            </w:r>
          </w:p>
        </w:tc>
        <w:tc>
          <w:tcPr>
            <w:tcW w:w="5400" w:type="dxa"/>
            <w:tcMar>
              <w:top w:w="70" w:type="dxa"/>
              <w:left w:w="85" w:type="dxa"/>
              <w:bottom w:w="70" w:type="dxa"/>
              <w:right w:w="85" w:type="dxa"/>
            </w:tcMar>
            <w:vAlign w:val="center"/>
          </w:tcPr>
          <w:p w:rsidR="00CA6C6E" w:rsidRDefault="000215BF">
            <w:pPr>
              <w:rPr>
                <w:rFonts w:hint="eastAsia"/>
              </w:rPr>
            </w:pPr>
            <w:r>
              <w:lastRenderedPageBreak/>
              <w:t xml:space="preserve">Shows most directly that the state-activated mechanism </w:t>
            </w:r>
            <w:r>
              <w:lastRenderedPageBreak/>
              <w:t>predicts its own validity domain at the earliest times.</w:t>
            </w:r>
          </w:p>
        </w:tc>
      </w:tr>
    </w:tbl>
    <w:p w:rsidR="00CA6C6E" w:rsidRDefault="00CA6C6E">
      <w:pPr>
        <w:rPr>
          <w:rFonts w:hint="eastAsia"/>
        </w:rPr>
      </w:pPr>
    </w:p>
    <w:p w:rsidR="00CA6C6E" w:rsidRDefault="006747C5">
      <w:r>
        <w:rPr>
          <w:noProof/>
          <w:lang w:eastAsia="zh-CN"/>
        </w:rPr>
        <w:drawing>
          <wp:inline distT="0" distB="0" distL="0" distR="0" wp14:anchorId="3E6A76AF" wp14:editId="29E81FD3">
            <wp:extent cx="6346190" cy="17145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46190" cy="1714500"/>
                    </a:xfrm>
                    <a:prstGeom prst="rect">
                      <a:avLst/>
                    </a:prstGeom>
                  </pic:spPr>
                </pic:pic>
              </a:graphicData>
            </a:graphic>
          </wp:inline>
        </w:drawing>
      </w:r>
    </w:p>
    <w:p w:rsidR="006747C5" w:rsidRDefault="006747C5">
      <w:pPr>
        <w:rPr>
          <w:rFonts w:hint="eastAsia"/>
        </w:rPr>
      </w:pPr>
      <w:r>
        <w:rPr>
          <w:noProof/>
          <w:lang w:eastAsia="zh-CN"/>
        </w:rPr>
        <w:drawing>
          <wp:inline distT="0" distB="0" distL="0" distR="0" wp14:anchorId="341111F6" wp14:editId="7E0BEFFB">
            <wp:extent cx="6346190" cy="26924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46190" cy="2692400"/>
                    </a:xfrm>
                    <a:prstGeom prst="rect">
                      <a:avLst/>
                    </a:prstGeom>
                  </pic:spPr>
                </pic:pic>
              </a:graphicData>
            </a:graphic>
          </wp:inline>
        </w:drawing>
      </w:r>
      <w:bookmarkStart w:id="0" w:name="_GoBack"/>
      <w:bookmarkEnd w:id="0"/>
    </w:p>
    <w:sectPr w:rsidR="006747C5" w:rsidSect="00034616">
      <w:headerReference w:type="default" r:id="rId10"/>
      <w:footerReference w:type="default" r:id="rId11"/>
      <w:pgSz w:w="12240" w:h="15840"/>
      <w:pgMar w:top="1080" w:right="1123" w:bottom="1008"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215BF" w:rsidRDefault="000215BF">
      <w:pPr>
        <w:spacing w:after="0" w:line="240" w:lineRule="auto"/>
        <w:rPr>
          <w:rFonts w:hint="eastAsia"/>
        </w:rPr>
      </w:pPr>
      <w:r>
        <w:separator/>
      </w:r>
    </w:p>
  </w:endnote>
  <w:endnote w:type="continuationSeparator" w:id="0">
    <w:p w:rsidR="000215BF" w:rsidRDefault="000215B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6C6E" w:rsidRDefault="000215BF">
    <w:pPr>
      <w:pStyle w:val="a7"/>
      <w:jc w:val="right"/>
      <w:rPr>
        <w:rFonts w:hint="eastAsia"/>
      </w:rPr>
    </w:pPr>
    <w:r>
      <w:fldChar w:fldCharType="begin"/>
    </w:r>
    <w:r>
      <w:instrText>PAGE</w:instrText>
    </w:r>
    <w:r>
      <w:rPr>
        <w:rFonts w:hint="eastAsia"/>
      </w:rPr>
      <w:fldChar w:fldCharType="separate"/>
    </w:r>
    <w:r w:rsidR="006747C5">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215BF" w:rsidRDefault="000215BF">
      <w:pPr>
        <w:spacing w:after="0" w:line="240" w:lineRule="auto"/>
        <w:rPr>
          <w:rFonts w:hint="eastAsia"/>
        </w:rPr>
      </w:pPr>
      <w:r>
        <w:separator/>
      </w:r>
    </w:p>
  </w:footnote>
  <w:footnote w:type="continuationSeparator" w:id="0">
    <w:p w:rsidR="000215BF" w:rsidRDefault="000215BF">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6C6E" w:rsidRDefault="000215BF">
    <w:pPr>
      <w:pStyle w:val="a5"/>
      <w:jc w:val="right"/>
      <w:rPr>
        <w:rFonts w:hint="eastAsia"/>
      </w:rPr>
    </w:pPr>
    <w:r>
      <w:rPr>
        <w:color w:val="6E6E6E"/>
        <w:sz w:val="17"/>
      </w:rPr>
      <w:t>Quantum HOI Project — Supplementary Experiment Log</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15BF"/>
    <w:rsid w:val="00034616"/>
    <w:rsid w:val="0006063C"/>
    <w:rsid w:val="0015074B"/>
    <w:rsid w:val="0029639D"/>
    <w:rsid w:val="00326F90"/>
    <w:rsid w:val="006747C5"/>
    <w:rsid w:val="00AA1D8D"/>
    <w:rsid w:val="00B47730"/>
    <w:rsid w:val="00CA6C6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5BBE7F"/>
  <w14:defaultImageDpi w14:val="300"/>
  <w15:docId w15:val="{24F37E9B-D087-43F2-823D-2D214DAD7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80" w:line="269" w:lineRule="auto"/>
    </w:pPr>
    <w:rPr>
      <w:rFonts w:ascii="Aptos" w:hAnsi="Aptos"/>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203764"/>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323232"/>
      <w:sz w:val="25"/>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64646"/>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03764"/>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B52F9A-AEB3-4A24-AF00-A06DFB1BA4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1389</Words>
  <Characters>7919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cp:lastModifiedBy>
  <cp:revision>2</cp:revision>
  <dcterms:created xsi:type="dcterms:W3CDTF">2013-12-23T23:15:00Z</dcterms:created>
  <dcterms:modified xsi:type="dcterms:W3CDTF">2026-04-15T22:27:00Z</dcterms:modified>
  <cp:category/>
</cp:coreProperties>
</file>