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A7FF" w14:textId="65869BAB" w:rsidR="00721F52" w:rsidRPr="00D203D8" w:rsidRDefault="00721F52" w:rsidP="00CA6C95">
      <w:pPr>
        <w:pStyle w:val="Heading1"/>
        <w:jc w:val="both"/>
        <w:rPr>
          <w:rFonts w:ascii="Book Antiqua" w:hAnsi="Book Antiqua"/>
          <w:sz w:val="36"/>
          <w:szCs w:val="36"/>
        </w:rPr>
      </w:pPr>
      <w:r w:rsidRPr="00D203D8">
        <w:rPr>
          <w:rFonts w:ascii="Book Antiqua" w:hAnsi="Book Antiqua"/>
          <w:sz w:val="36"/>
          <w:szCs w:val="36"/>
        </w:rPr>
        <w:t>Assumptions:</w:t>
      </w:r>
    </w:p>
    <w:p w14:paraId="7A6E86AD" w14:textId="5AB80B25" w:rsidR="000E5192" w:rsidRPr="00D203D8" w:rsidRDefault="000E5192" w:rsidP="00721F52">
      <w:pPr>
        <w:rPr>
          <w:rFonts w:ascii="Book Antiqua" w:hAnsi="Book Antiqua"/>
          <w:b/>
          <w:bCs/>
          <w:sz w:val="20"/>
          <w:szCs w:val="20"/>
        </w:rPr>
      </w:pPr>
      <w:r w:rsidRPr="00D203D8">
        <w:rPr>
          <w:rFonts w:ascii="Book Antiqua" w:hAnsi="Book Antiqua"/>
          <w:b/>
          <w:bCs/>
          <w:sz w:val="20"/>
          <w:szCs w:val="20"/>
        </w:rPr>
        <w:t>Income Statement:</w:t>
      </w:r>
    </w:p>
    <w:p w14:paraId="6F060013" w14:textId="171E2498" w:rsidR="00721F52" w:rsidRPr="00D203D8" w:rsidRDefault="003832D7" w:rsidP="002715A6">
      <w:pPr>
        <w:pStyle w:val="ListParagraph"/>
        <w:numPr>
          <w:ilvl w:val="0"/>
          <w:numId w:val="1"/>
        </w:numPr>
        <w:rPr>
          <w:rFonts w:ascii="Book Antiqua" w:hAnsi="Book Antiqua"/>
          <w:sz w:val="20"/>
          <w:szCs w:val="20"/>
        </w:rPr>
      </w:pPr>
      <w:r w:rsidRPr="00D203D8">
        <w:rPr>
          <w:rFonts w:ascii="Book Antiqua" w:hAnsi="Book Antiqua"/>
          <w:sz w:val="20"/>
          <w:szCs w:val="20"/>
        </w:rPr>
        <w:t>For revenue assumptions, please refer to</w:t>
      </w:r>
      <w:r w:rsidR="002274E1" w:rsidRPr="00D203D8">
        <w:rPr>
          <w:rFonts w:ascii="Book Antiqua" w:hAnsi="Book Antiqua"/>
          <w:sz w:val="20"/>
          <w:szCs w:val="20"/>
        </w:rPr>
        <w:t xml:space="preserve"> [</w:t>
      </w:r>
      <w:r w:rsidR="002274E1" w:rsidRPr="00D203D8">
        <w:rPr>
          <w:rFonts w:ascii="Book Antiqua" w:hAnsi="Book Antiqua"/>
          <w:b/>
          <w:bCs/>
          <w:sz w:val="20"/>
          <w:szCs w:val="20"/>
        </w:rPr>
        <w:t>Revenue Growth Rate Calculation]</w:t>
      </w:r>
      <w:r w:rsidR="002274E1" w:rsidRPr="00D203D8">
        <w:rPr>
          <w:rFonts w:ascii="Book Antiqua" w:hAnsi="Book Antiqua"/>
          <w:sz w:val="20"/>
          <w:szCs w:val="20"/>
        </w:rPr>
        <w:t xml:space="preserve"> below</w:t>
      </w:r>
    </w:p>
    <w:p w14:paraId="64E5B080" w14:textId="7B547C2A" w:rsidR="002274E1" w:rsidRPr="00D203D8" w:rsidRDefault="000277C3" w:rsidP="002715A6">
      <w:pPr>
        <w:pStyle w:val="ListParagraph"/>
        <w:numPr>
          <w:ilvl w:val="0"/>
          <w:numId w:val="1"/>
        </w:numPr>
        <w:rPr>
          <w:rFonts w:ascii="Book Antiqua" w:hAnsi="Book Antiqua"/>
          <w:sz w:val="20"/>
          <w:szCs w:val="20"/>
        </w:rPr>
      </w:pPr>
      <w:r w:rsidRPr="00D203D8">
        <w:rPr>
          <w:rFonts w:ascii="Book Antiqua" w:hAnsi="Book Antiqua"/>
          <w:sz w:val="20"/>
          <w:szCs w:val="20"/>
        </w:rPr>
        <w:t>Project</w:t>
      </w:r>
      <w:r w:rsidR="000E5192" w:rsidRPr="00D203D8">
        <w:rPr>
          <w:rFonts w:ascii="Book Antiqua" w:hAnsi="Book Antiqua"/>
          <w:sz w:val="20"/>
          <w:szCs w:val="20"/>
        </w:rPr>
        <w:t xml:space="preserve"> R&amp;D </w:t>
      </w:r>
      <w:r w:rsidR="008266EB" w:rsidRPr="00D203D8">
        <w:rPr>
          <w:rFonts w:ascii="Book Antiqua" w:hAnsi="Book Antiqua"/>
          <w:sz w:val="20"/>
          <w:szCs w:val="20"/>
        </w:rPr>
        <w:t>costs</w:t>
      </w:r>
      <w:r w:rsidR="000E5192" w:rsidRPr="00D203D8">
        <w:rPr>
          <w:rFonts w:ascii="Book Antiqua" w:hAnsi="Book Antiqua"/>
          <w:sz w:val="20"/>
          <w:szCs w:val="20"/>
        </w:rPr>
        <w:t xml:space="preserve"> </w:t>
      </w:r>
      <w:r w:rsidRPr="00D203D8">
        <w:rPr>
          <w:rFonts w:ascii="Book Antiqua" w:hAnsi="Book Antiqua"/>
          <w:sz w:val="20"/>
          <w:szCs w:val="20"/>
        </w:rPr>
        <w:t xml:space="preserve">separately </w:t>
      </w:r>
      <w:r w:rsidR="002715A6" w:rsidRPr="00D203D8">
        <w:rPr>
          <w:rFonts w:ascii="Book Antiqua" w:hAnsi="Book Antiqua"/>
          <w:sz w:val="20"/>
          <w:szCs w:val="20"/>
        </w:rPr>
        <w:t>since</w:t>
      </w:r>
      <w:r w:rsidR="008266EB" w:rsidRPr="00D203D8">
        <w:rPr>
          <w:rFonts w:ascii="Book Antiqua" w:hAnsi="Book Antiqua"/>
          <w:sz w:val="20"/>
          <w:szCs w:val="20"/>
        </w:rPr>
        <w:t xml:space="preserve"> R&amp;D Department</w:t>
      </w:r>
      <w:r w:rsidRPr="00D203D8">
        <w:rPr>
          <w:rFonts w:ascii="Book Antiqua" w:hAnsi="Book Antiqua"/>
          <w:sz w:val="20"/>
          <w:szCs w:val="20"/>
        </w:rPr>
        <w:t xml:space="preserve"> is </w:t>
      </w:r>
      <w:r w:rsidR="008266EB" w:rsidRPr="00D203D8">
        <w:rPr>
          <w:rFonts w:ascii="Book Antiqua" w:hAnsi="Book Antiqua"/>
          <w:sz w:val="20"/>
          <w:szCs w:val="20"/>
        </w:rPr>
        <w:t xml:space="preserve">likely the </w:t>
      </w:r>
      <w:r w:rsidRPr="00D203D8">
        <w:rPr>
          <w:rFonts w:ascii="Book Antiqua" w:hAnsi="Book Antiqua"/>
          <w:sz w:val="20"/>
          <w:szCs w:val="20"/>
        </w:rPr>
        <w:t>core driver of growth and competitive advantage</w:t>
      </w:r>
      <w:r w:rsidR="00BB2E47" w:rsidRPr="00D203D8">
        <w:rPr>
          <w:rFonts w:ascii="Book Antiqua" w:hAnsi="Book Antiqua"/>
          <w:sz w:val="20"/>
          <w:szCs w:val="20"/>
        </w:rPr>
        <w:t xml:space="preserve"> for NVIDIA.</w:t>
      </w:r>
    </w:p>
    <w:p w14:paraId="1B02C029" w14:textId="5D50A343" w:rsidR="008266EB" w:rsidRPr="00D203D8" w:rsidRDefault="00BB2E47" w:rsidP="002715A6">
      <w:pPr>
        <w:pStyle w:val="ListParagraph"/>
        <w:numPr>
          <w:ilvl w:val="0"/>
          <w:numId w:val="1"/>
        </w:numPr>
        <w:rPr>
          <w:rFonts w:ascii="Book Antiqua" w:hAnsi="Book Antiqua"/>
          <w:sz w:val="20"/>
          <w:szCs w:val="20"/>
        </w:rPr>
      </w:pPr>
      <w:r w:rsidRPr="00D203D8">
        <w:rPr>
          <w:rFonts w:ascii="Book Antiqua" w:hAnsi="Book Antiqua"/>
          <w:sz w:val="20"/>
          <w:szCs w:val="20"/>
        </w:rPr>
        <w:t xml:space="preserve">Apply an effective tax rate instead of </w:t>
      </w:r>
      <w:r w:rsidR="00EF3F0C" w:rsidRPr="00D203D8">
        <w:rPr>
          <w:rFonts w:ascii="Book Antiqua" w:hAnsi="Book Antiqua"/>
          <w:sz w:val="20"/>
          <w:szCs w:val="20"/>
        </w:rPr>
        <w:t>statu</w:t>
      </w:r>
      <w:r w:rsidR="00392A1A" w:rsidRPr="00D203D8">
        <w:rPr>
          <w:rFonts w:ascii="Book Antiqua" w:hAnsi="Book Antiqua"/>
          <w:sz w:val="20"/>
          <w:szCs w:val="20"/>
        </w:rPr>
        <w:t xml:space="preserve">tory </w:t>
      </w:r>
      <w:r w:rsidRPr="00D203D8">
        <w:rPr>
          <w:rFonts w:ascii="Book Antiqua" w:hAnsi="Book Antiqua"/>
          <w:sz w:val="20"/>
          <w:szCs w:val="20"/>
        </w:rPr>
        <w:t xml:space="preserve">tax rate since it will give a </w:t>
      </w:r>
      <w:r w:rsidR="00392A1A" w:rsidRPr="00D203D8">
        <w:rPr>
          <w:rFonts w:ascii="Book Antiqua" w:hAnsi="Book Antiqua"/>
          <w:sz w:val="20"/>
          <w:szCs w:val="20"/>
        </w:rPr>
        <w:t>better projection of future earnings</w:t>
      </w:r>
      <w:r w:rsidR="00EF3F0C" w:rsidRPr="00D203D8">
        <w:rPr>
          <w:rFonts w:ascii="Book Antiqua" w:hAnsi="Book Antiqua"/>
          <w:sz w:val="20"/>
          <w:szCs w:val="20"/>
        </w:rPr>
        <w:t xml:space="preserve"> and </w:t>
      </w:r>
      <w:r w:rsidR="00392A1A" w:rsidRPr="00D203D8">
        <w:rPr>
          <w:rFonts w:ascii="Book Antiqua" w:hAnsi="Book Antiqua"/>
          <w:sz w:val="20"/>
          <w:szCs w:val="20"/>
        </w:rPr>
        <w:t>reflect</w:t>
      </w:r>
      <w:r w:rsidR="00EF3F0C" w:rsidRPr="00D203D8">
        <w:rPr>
          <w:rFonts w:ascii="Book Antiqua" w:hAnsi="Book Antiqua"/>
          <w:sz w:val="20"/>
          <w:szCs w:val="20"/>
        </w:rPr>
        <w:t xml:space="preserve"> real cash flow impact</w:t>
      </w:r>
      <w:r w:rsidR="00C102D3" w:rsidRPr="00D203D8">
        <w:rPr>
          <w:rFonts w:ascii="Book Antiqua" w:hAnsi="Book Antiqua"/>
          <w:sz w:val="20"/>
          <w:szCs w:val="20"/>
        </w:rPr>
        <w:t xml:space="preserve">. Future </w:t>
      </w:r>
      <w:r w:rsidR="00E414FD" w:rsidRPr="00D203D8">
        <w:rPr>
          <w:rFonts w:ascii="Book Antiqua" w:hAnsi="Book Antiqua"/>
          <w:sz w:val="20"/>
          <w:szCs w:val="20"/>
        </w:rPr>
        <w:t xml:space="preserve">marginal </w:t>
      </w:r>
      <w:r w:rsidR="00C102D3" w:rsidRPr="00D203D8">
        <w:rPr>
          <w:rFonts w:ascii="Book Antiqua" w:hAnsi="Book Antiqua"/>
          <w:sz w:val="20"/>
          <w:szCs w:val="20"/>
        </w:rPr>
        <w:t>tax rate is fixed at 1</w:t>
      </w:r>
      <w:r w:rsidR="00E414FD" w:rsidRPr="00D203D8">
        <w:rPr>
          <w:rFonts w:ascii="Book Antiqua" w:hAnsi="Book Antiqua"/>
          <w:sz w:val="20"/>
          <w:szCs w:val="20"/>
        </w:rPr>
        <w:t>4</w:t>
      </w:r>
      <w:r w:rsidR="00C102D3" w:rsidRPr="00D203D8">
        <w:rPr>
          <w:rFonts w:ascii="Book Antiqua" w:hAnsi="Book Antiqua"/>
          <w:sz w:val="20"/>
          <w:szCs w:val="20"/>
        </w:rPr>
        <w:t>%</w:t>
      </w:r>
    </w:p>
    <w:p w14:paraId="68B7111B" w14:textId="04B04BA2" w:rsidR="00C102D3" w:rsidRPr="00D203D8" w:rsidRDefault="00C102D3" w:rsidP="00C102D3">
      <w:pPr>
        <w:pStyle w:val="ListParagraph"/>
        <w:rPr>
          <w:rFonts w:ascii="Book Antiqua" w:hAnsi="Book Antiqua"/>
          <w:sz w:val="20"/>
          <w:szCs w:val="20"/>
        </w:rPr>
      </w:pPr>
      <w:r w:rsidRPr="00D203D8">
        <w:rPr>
          <w:rFonts w:ascii="Book Antiqua" w:hAnsi="Book Antiqua"/>
          <w:sz w:val="20"/>
          <w:szCs w:val="20"/>
        </w:rPr>
        <w:t>Source:</w:t>
      </w:r>
      <w:r w:rsidR="00E414FD" w:rsidRPr="00D203D8">
        <w:rPr>
          <w:rFonts w:ascii="Book Antiqua" w:hAnsi="Book Antiqua"/>
          <w:sz w:val="20"/>
          <w:szCs w:val="20"/>
        </w:rPr>
        <w:t xml:space="preserve"> </w:t>
      </w:r>
      <w:hyperlink r:id="rId7" w:history="1">
        <w:r w:rsidR="00E414FD" w:rsidRPr="00D203D8">
          <w:rPr>
            <w:rStyle w:val="Hyperlink"/>
            <w:rFonts w:ascii="Book Antiqua" w:hAnsi="Book Antiqua"/>
            <w:sz w:val="20"/>
            <w:szCs w:val="20"/>
          </w:rPr>
          <w:t>Charles Schwab</w:t>
        </w:r>
      </w:hyperlink>
    </w:p>
    <w:p w14:paraId="2D5760D6" w14:textId="5720D420" w:rsidR="00392A1A" w:rsidRPr="00D203D8" w:rsidRDefault="00392A1A" w:rsidP="002715A6">
      <w:pPr>
        <w:pStyle w:val="ListParagraph"/>
        <w:numPr>
          <w:ilvl w:val="0"/>
          <w:numId w:val="1"/>
        </w:numPr>
        <w:rPr>
          <w:rFonts w:ascii="Book Antiqua" w:hAnsi="Book Antiqua"/>
          <w:sz w:val="20"/>
          <w:szCs w:val="20"/>
        </w:rPr>
      </w:pPr>
      <w:r w:rsidRPr="00D203D8">
        <w:rPr>
          <w:rFonts w:ascii="Book Antiqua" w:hAnsi="Book Antiqua"/>
          <w:sz w:val="20"/>
          <w:szCs w:val="20"/>
        </w:rPr>
        <w:t>The remaining items are expressed as a percentage of sales.</w:t>
      </w:r>
    </w:p>
    <w:p w14:paraId="7D3EE1F4" w14:textId="65365522" w:rsidR="00392A1A" w:rsidRPr="00D203D8" w:rsidRDefault="00392A1A" w:rsidP="00392A1A">
      <w:pPr>
        <w:rPr>
          <w:rFonts w:ascii="Book Antiqua" w:hAnsi="Book Antiqua"/>
          <w:b/>
          <w:bCs/>
          <w:sz w:val="20"/>
          <w:szCs w:val="20"/>
        </w:rPr>
      </w:pPr>
      <w:r w:rsidRPr="00D203D8">
        <w:rPr>
          <w:rFonts w:ascii="Book Antiqua" w:hAnsi="Book Antiqua"/>
          <w:b/>
          <w:bCs/>
          <w:sz w:val="20"/>
          <w:szCs w:val="20"/>
        </w:rPr>
        <w:t>Balance Sheet</w:t>
      </w:r>
    </w:p>
    <w:p w14:paraId="2C19E8C1" w14:textId="57361CEF" w:rsidR="0079532E" w:rsidRPr="00D203D8" w:rsidRDefault="00940567" w:rsidP="00D26288">
      <w:pPr>
        <w:pStyle w:val="ListParagraph"/>
        <w:numPr>
          <w:ilvl w:val="0"/>
          <w:numId w:val="3"/>
        </w:numPr>
        <w:rPr>
          <w:rFonts w:ascii="Book Antiqua" w:hAnsi="Book Antiqua"/>
          <w:sz w:val="20"/>
          <w:szCs w:val="20"/>
        </w:rPr>
      </w:pPr>
      <w:r w:rsidRPr="00D203D8">
        <w:rPr>
          <w:rFonts w:ascii="Book Antiqua" w:hAnsi="Book Antiqua"/>
          <w:sz w:val="20"/>
          <w:szCs w:val="20"/>
        </w:rPr>
        <w:t>Inventor</w:t>
      </w:r>
      <w:r w:rsidR="009A4404" w:rsidRPr="00D203D8">
        <w:rPr>
          <w:rFonts w:ascii="Book Antiqua" w:hAnsi="Book Antiqua"/>
          <w:sz w:val="20"/>
          <w:szCs w:val="20"/>
        </w:rPr>
        <w:t>y</w:t>
      </w:r>
      <w:r w:rsidRPr="00D203D8">
        <w:rPr>
          <w:rFonts w:ascii="Book Antiqua" w:hAnsi="Book Antiqua"/>
          <w:sz w:val="20"/>
          <w:szCs w:val="20"/>
        </w:rPr>
        <w:t xml:space="preserve"> </w:t>
      </w:r>
      <w:r w:rsidR="009A4404" w:rsidRPr="00D203D8">
        <w:rPr>
          <w:rFonts w:ascii="Book Antiqua" w:hAnsi="Book Antiqua"/>
          <w:sz w:val="20"/>
          <w:szCs w:val="20"/>
        </w:rPr>
        <w:t>is</w:t>
      </w:r>
      <w:r w:rsidRPr="00D203D8">
        <w:rPr>
          <w:rFonts w:ascii="Book Antiqua" w:hAnsi="Book Antiqua"/>
          <w:sz w:val="20"/>
          <w:szCs w:val="20"/>
        </w:rPr>
        <w:t xml:space="preserve"> projected by calculating Days Inventory Held for historical data using the formula: DIH = (Inventory/COGS) * 365</w:t>
      </w:r>
      <w:r w:rsidR="009A4404" w:rsidRPr="00D203D8">
        <w:rPr>
          <w:rFonts w:ascii="Book Antiqua" w:hAnsi="Book Antiqua"/>
          <w:sz w:val="20"/>
          <w:szCs w:val="20"/>
        </w:rPr>
        <w:t xml:space="preserve">. An average </w:t>
      </w:r>
      <w:r w:rsidR="004F26B0" w:rsidRPr="00D203D8">
        <w:rPr>
          <w:rFonts w:ascii="Book Antiqua" w:hAnsi="Book Antiqua"/>
          <w:sz w:val="20"/>
          <w:szCs w:val="20"/>
        </w:rPr>
        <w:t>for</w:t>
      </w:r>
      <w:r w:rsidR="009A4404" w:rsidRPr="00D203D8">
        <w:rPr>
          <w:rFonts w:ascii="Book Antiqua" w:hAnsi="Book Antiqua"/>
          <w:sz w:val="20"/>
          <w:szCs w:val="20"/>
        </w:rPr>
        <w:t xml:space="preserve"> </w:t>
      </w:r>
      <w:r w:rsidR="00A915CE" w:rsidRPr="00D203D8">
        <w:rPr>
          <w:rFonts w:ascii="Book Antiqua" w:hAnsi="Book Antiqua"/>
          <w:sz w:val="20"/>
          <w:szCs w:val="20"/>
        </w:rPr>
        <w:t>the previous</w:t>
      </w:r>
      <w:r w:rsidR="009A4404" w:rsidRPr="00D203D8">
        <w:rPr>
          <w:rFonts w:ascii="Book Antiqua" w:hAnsi="Book Antiqua"/>
          <w:sz w:val="20"/>
          <w:szCs w:val="20"/>
        </w:rPr>
        <w:t xml:space="preserve"> 5 years is </w:t>
      </w:r>
      <w:r w:rsidR="00A915CE" w:rsidRPr="00D203D8">
        <w:rPr>
          <w:rFonts w:ascii="Book Antiqua" w:hAnsi="Book Antiqua"/>
          <w:sz w:val="20"/>
          <w:szCs w:val="20"/>
        </w:rPr>
        <w:t>implemented in projections</w:t>
      </w:r>
      <w:r w:rsidR="004F26B0" w:rsidRPr="00D203D8">
        <w:rPr>
          <w:rFonts w:ascii="Book Antiqua" w:hAnsi="Book Antiqua"/>
          <w:sz w:val="20"/>
          <w:szCs w:val="20"/>
        </w:rPr>
        <w:t xml:space="preserve"> moving forward.</w:t>
      </w:r>
    </w:p>
    <w:p w14:paraId="777044CD" w14:textId="54395C0B" w:rsidR="000469FE" w:rsidRPr="00D203D8" w:rsidRDefault="000469FE" w:rsidP="004F26B0">
      <w:pPr>
        <w:pStyle w:val="ListParagraph"/>
        <w:numPr>
          <w:ilvl w:val="0"/>
          <w:numId w:val="3"/>
        </w:numPr>
        <w:rPr>
          <w:rFonts w:ascii="Book Antiqua" w:hAnsi="Book Antiqua"/>
          <w:sz w:val="20"/>
          <w:szCs w:val="20"/>
        </w:rPr>
      </w:pPr>
      <w:r w:rsidRPr="00D203D8">
        <w:rPr>
          <w:rFonts w:ascii="Book Antiqua" w:hAnsi="Book Antiqua"/>
          <w:sz w:val="20"/>
          <w:szCs w:val="20"/>
        </w:rPr>
        <w:t>Account Payables is projected by calculating Days Payables Outstanding for historical data using the formula: DPO = (Account Payable</w:t>
      </w:r>
      <w:r w:rsidR="009A4404" w:rsidRPr="00D203D8">
        <w:rPr>
          <w:rFonts w:ascii="Book Antiqua" w:hAnsi="Book Antiqua"/>
          <w:sz w:val="20"/>
          <w:szCs w:val="20"/>
        </w:rPr>
        <w:t>/COGS) * 365</w:t>
      </w:r>
      <w:r w:rsidR="004F26B0" w:rsidRPr="00D203D8">
        <w:rPr>
          <w:rFonts w:ascii="Book Antiqua" w:hAnsi="Book Antiqua"/>
          <w:sz w:val="20"/>
          <w:szCs w:val="20"/>
        </w:rPr>
        <w:t xml:space="preserve">. </w:t>
      </w:r>
      <w:r w:rsidR="004F26B0" w:rsidRPr="00D203D8">
        <w:rPr>
          <w:rFonts w:ascii="Book Antiqua" w:hAnsi="Book Antiqua"/>
          <w:sz w:val="20"/>
          <w:szCs w:val="20"/>
        </w:rPr>
        <w:t>An average for the previous 5 years is implemented in projections moving forward.</w:t>
      </w:r>
    </w:p>
    <w:p w14:paraId="1B0D49F1" w14:textId="48C2FB68" w:rsidR="0079532E" w:rsidRPr="00D203D8" w:rsidRDefault="007E2223" w:rsidP="00242637">
      <w:pPr>
        <w:pStyle w:val="ListParagraph"/>
        <w:numPr>
          <w:ilvl w:val="0"/>
          <w:numId w:val="3"/>
        </w:numPr>
        <w:rPr>
          <w:rFonts w:ascii="Book Antiqua" w:hAnsi="Book Antiqua"/>
          <w:sz w:val="20"/>
          <w:szCs w:val="20"/>
        </w:rPr>
      </w:pPr>
      <w:r w:rsidRPr="00D203D8">
        <w:rPr>
          <w:rFonts w:ascii="Book Antiqua" w:hAnsi="Book Antiqua"/>
          <w:sz w:val="20"/>
          <w:szCs w:val="20"/>
        </w:rPr>
        <w:t xml:space="preserve">Account Receivables is projected by calculating </w:t>
      </w:r>
      <w:r w:rsidR="005D4D4F" w:rsidRPr="00D203D8">
        <w:rPr>
          <w:rFonts w:ascii="Book Antiqua" w:hAnsi="Book Antiqua"/>
          <w:sz w:val="20"/>
          <w:szCs w:val="20"/>
        </w:rPr>
        <w:t>Day</w:t>
      </w:r>
      <w:r w:rsidR="0079532E" w:rsidRPr="00D203D8">
        <w:rPr>
          <w:rFonts w:ascii="Book Antiqua" w:hAnsi="Book Antiqua"/>
          <w:sz w:val="20"/>
          <w:szCs w:val="20"/>
        </w:rPr>
        <w:t>s</w:t>
      </w:r>
      <w:r w:rsidR="005D4D4F" w:rsidRPr="00D203D8">
        <w:rPr>
          <w:rFonts w:ascii="Book Antiqua" w:hAnsi="Book Antiqua"/>
          <w:sz w:val="20"/>
          <w:szCs w:val="20"/>
        </w:rPr>
        <w:t xml:space="preserve"> Sales Outstanding</w:t>
      </w:r>
      <w:r w:rsidR="00355F6C" w:rsidRPr="00D203D8">
        <w:rPr>
          <w:rFonts w:ascii="Book Antiqua" w:hAnsi="Book Antiqua"/>
          <w:sz w:val="20"/>
          <w:szCs w:val="20"/>
        </w:rPr>
        <w:t xml:space="preserve"> for historical data</w:t>
      </w:r>
      <w:r w:rsidRPr="00D203D8">
        <w:rPr>
          <w:rFonts w:ascii="Book Antiqua" w:hAnsi="Book Antiqua"/>
          <w:sz w:val="20"/>
          <w:szCs w:val="20"/>
        </w:rPr>
        <w:t xml:space="preserve"> using the formula:</w:t>
      </w:r>
      <w:r w:rsidR="0079532E" w:rsidRPr="00D203D8">
        <w:rPr>
          <w:rFonts w:ascii="Book Antiqua" w:hAnsi="Book Antiqua"/>
          <w:sz w:val="20"/>
          <w:szCs w:val="20"/>
        </w:rPr>
        <w:t xml:space="preserve"> DSO = (Account Receivable/Revenue) * 365</w:t>
      </w:r>
      <w:r w:rsidR="004F26B0" w:rsidRPr="00D203D8">
        <w:rPr>
          <w:rFonts w:ascii="Book Antiqua" w:hAnsi="Book Antiqua"/>
          <w:sz w:val="20"/>
          <w:szCs w:val="20"/>
        </w:rPr>
        <w:t xml:space="preserve">. </w:t>
      </w:r>
      <w:r w:rsidR="004F26B0" w:rsidRPr="00D203D8">
        <w:rPr>
          <w:rFonts w:ascii="Book Antiqua" w:hAnsi="Book Antiqua"/>
          <w:sz w:val="20"/>
          <w:szCs w:val="20"/>
        </w:rPr>
        <w:t>An average for the previous 5 years is implemented in projections moving forward.</w:t>
      </w:r>
    </w:p>
    <w:p w14:paraId="13B27DAA" w14:textId="35E205FC" w:rsidR="0031307C" w:rsidRPr="00D203D8" w:rsidRDefault="00BB5CFF" w:rsidP="002B2687">
      <w:pPr>
        <w:pStyle w:val="ListParagraph"/>
        <w:numPr>
          <w:ilvl w:val="0"/>
          <w:numId w:val="3"/>
        </w:numPr>
        <w:rPr>
          <w:rFonts w:ascii="Book Antiqua" w:hAnsi="Book Antiqua"/>
          <w:sz w:val="20"/>
          <w:szCs w:val="20"/>
        </w:rPr>
      </w:pPr>
      <w:r w:rsidRPr="00D203D8">
        <w:rPr>
          <w:rFonts w:ascii="Book Antiqua" w:hAnsi="Book Antiqua"/>
          <w:sz w:val="20"/>
          <w:szCs w:val="20"/>
        </w:rPr>
        <w:t xml:space="preserve">Depreciation is projected as a percentage of CAPEX to </w:t>
      </w:r>
      <w:r w:rsidR="002017E0" w:rsidRPr="00D203D8">
        <w:rPr>
          <w:rFonts w:ascii="Book Antiqua" w:hAnsi="Book Antiqua"/>
          <w:sz w:val="20"/>
          <w:szCs w:val="20"/>
        </w:rPr>
        <w:t>accurately reflect the direct relationship.</w:t>
      </w:r>
      <w:r w:rsidR="009F4215" w:rsidRPr="00D203D8">
        <w:rPr>
          <w:rFonts w:ascii="Book Antiqua" w:hAnsi="Book Antiqua"/>
          <w:sz w:val="20"/>
          <w:szCs w:val="20"/>
        </w:rPr>
        <w:t xml:space="preserve"> An annual step of </w:t>
      </w:r>
      <w:r w:rsidR="00E41C76" w:rsidRPr="00D203D8">
        <w:rPr>
          <w:rFonts w:ascii="Book Antiqua" w:hAnsi="Book Antiqua"/>
          <w:sz w:val="20"/>
          <w:szCs w:val="20"/>
        </w:rPr>
        <w:t>1</w:t>
      </w:r>
      <w:r w:rsidR="009F4215" w:rsidRPr="00D203D8">
        <w:rPr>
          <w:rFonts w:ascii="Book Antiqua" w:hAnsi="Book Antiqua"/>
          <w:sz w:val="20"/>
          <w:szCs w:val="20"/>
        </w:rPr>
        <w:t xml:space="preserve">% </w:t>
      </w:r>
      <w:r w:rsidR="00EC2570" w:rsidRPr="00D203D8">
        <w:rPr>
          <w:rFonts w:ascii="Book Antiqua" w:hAnsi="Book Antiqua"/>
          <w:sz w:val="20"/>
          <w:szCs w:val="20"/>
        </w:rPr>
        <w:t xml:space="preserve">is implemented to reflect </w:t>
      </w:r>
      <w:r w:rsidR="00ED68F1" w:rsidRPr="00D203D8">
        <w:rPr>
          <w:rFonts w:ascii="Book Antiqua" w:hAnsi="Book Antiqua"/>
          <w:sz w:val="20"/>
          <w:szCs w:val="20"/>
        </w:rPr>
        <w:t>NVIDIA’s</w:t>
      </w:r>
      <w:r w:rsidR="00E41C76" w:rsidRPr="00D203D8">
        <w:rPr>
          <w:rFonts w:ascii="Book Antiqua" w:hAnsi="Book Antiqua"/>
          <w:sz w:val="20"/>
          <w:szCs w:val="20"/>
        </w:rPr>
        <w:t xml:space="preserve"> gradual</w:t>
      </w:r>
      <w:r w:rsidR="00ED68F1" w:rsidRPr="00D203D8">
        <w:rPr>
          <w:rFonts w:ascii="Book Antiqua" w:hAnsi="Book Antiqua"/>
          <w:sz w:val="20"/>
          <w:szCs w:val="20"/>
        </w:rPr>
        <w:t xml:space="preserve"> shift towards shorter-lived assets</w:t>
      </w:r>
      <w:r w:rsidR="00AC7CA2" w:rsidRPr="00D203D8">
        <w:rPr>
          <w:rFonts w:ascii="Book Antiqua" w:hAnsi="Book Antiqua"/>
          <w:sz w:val="20"/>
          <w:szCs w:val="20"/>
        </w:rPr>
        <w:t xml:space="preserve"> (AI, Chips, etc. with shorter lifespan)</w:t>
      </w:r>
      <w:r w:rsidR="00E41C76" w:rsidRPr="00D203D8">
        <w:rPr>
          <w:rFonts w:ascii="Book Antiqua" w:hAnsi="Book Antiqua"/>
          <w:sz w:val="20"/>
          <w:szCs w:val="20"/>
        </w:rPr>
        <w:t>.</w:t>
      </w:r>
    </w:p>
    <w:p w14:paraId="06AF478F" w14:textId="5DC0FC38" w:rsidR="00242637" w:rsidRPr="00D203D8" w:rsidRDefault="00242637" w:rsidP="002B2687">
      <w:pPr>
        <w:pStyle w:val="ListParagraph"/>
        <w:numPr>
          <w:ilvl w:val="0"/>
          <w:numId w:val="3"/>
        </w:numPr>
        <w:rPr>
          <w:rFonts w:ascii="Book Antiqua" w:hAnsi="Book Antiqua"/>
          <w:sz w:val="20"/>
          <w:szCs w:val="20"/>
        </w:rPr>
      </w:pPr>
      <w:r w:rsidRPr="00D203D8">
        <w:rPr>
          <w:rFonts w:ascii="Book Antiqua" w:hAnsi="Book Antiqua"/>
          <w:sz w:val="20"/>
          <w:szCs w:val="20"/>
        </w:rPr>
        <w:t>Share Repurchases</w:t>
      </w:r>
      <w:r w:rsidR="008E164D" w:rsidRPr="00D203D8">
        <w:rPr>
          <w:rFonts w:ascii="Book Antiqua" w:hAnsi="Book Antiqua"/>
          <w:sz w:val="20"/>
          <w:szCs w:val="20"/>
        </w:rPr>
        <w:t xml:space="preserve"> are projected as a percentage of Net Income since this aligns with historical practices. Moreover, </w:t>
      </w:r>
      <w:r w:rsidR="0079695E" w:rsidRPr="00D203D8">
        <w:rPr>
          <w:rFonts w:ascii="Book Antiqua" w:hAnsi="Book Antiqua"/>
          <w:sz w:val="20"/>
          <w:szCs w:val="20"/>
        </w:rPr>
        <w:t xml:space="preserve">Net Income </w:t>
      </w:r>
      <w:r w:rsidR="00344078" w:rsidRPr="00D203D8">
        <w:rPr>
          <w:rFonts w:ascii="Book Antiqua" w:hAnsi="Book Antiqua"/>
          <w:sz w:val="20"/>
          <w:szCs w:val="20"/>
        </w:rPr>
        <w:t xml:space="preserve">represents the company’s profitability that is used to repurchase shares, and it is more stable than Free Cash Flow since it is not affected by CAPEX or </w:t>
      </w:r>
      <w:r w:rsidR="00B12EDD" w:rsidRPr="00D203D8">
        <w:rPr>
          <w:rFonts w:ascii="Book Antiqua" w:hAnsi="Book Antiqua"/>
          <w:sz w:val="20"/>
          <w:szCs w:val="20"/>
        </w:rPr>
        <w:t>Working Cap.</w:t>
      </w:r>
    </w:p>
    <w:p w14:paraId="5B5549F4" w14:textId="77777777" w:rsidR="00B12EDD" w:rsidRPr="00D203D8" w:rsidRDefault="00B12EDD" w:rsidP="00B12EDD">
      <w:pPr>
        <w:pStyle w:val="ListParagraph"/>
        <w:numPr>
          <w:ilvl w:val="0"/>
          <w:numId w:val="3"/>
        </w:numPr>
        <w:rPr>
          <w:rFonts w:ascii="Book Antiqua" w:hAnsi="Book Antiqua"/>
          <w:sz w:val="20"/>
          <w:szCs w:val="20"/>
        </w:rPr>
      </w:pPr>
      <w:r w:rsidRPr="00D203D8">
        <w:rPr>
          <w:rFonts w:ascii="Book Antiqua" w:hAnsi="Book Antiqua"/>
          <w:sz w:val="20"/>
          <w:szCs w:val="20"/>
        </w:rPr>
        <w:t>The remaining items are expressed as a percentage of sales.</w:t>
      </w:r>
    </w:p>
    <w:p w14:paraId="55145741" w14:textId="47866F3F" w:rsidR="001612C9" w:rsidRPr="00D203D8" w:rsidRDefault="00B23D58" w:rsidP="00CA6C95">
      <w:pPr>
        <w:pStyle w:val="Heading1"/>
        <w:jc w:val="both"/>
        <w:rPr>
          <w:rFonts w:ascii="Book Antiqua" w:hAnsi="Book Antiqua"/>
          <w:sz w:val="36"/>
          <w:szCs w:val="36"/>
        </w:rPr>
      </w:pPr>
      <w:r w:rsidRPr="00D203D8">
        <w:rPr>
          <w:rFonts w:ascii="Book Antiqua" w:hAnsi="Book Antiqua"/>
          <w:sz w:val="36"/>
          <w:szCs w:val="36"/>
        </w:rPr>
        <w:t xml:space="preserve">Revenue Growth </w:t>
      </w:r>
      <w:r w:rsidR="001612C9" w:rsidRPr="00D203D8">
        <w:rPr>
          <w:rFonts w:ascii="Book Antiqua" w:hAnsi="Book Antiqua"/>
          <w:sz w:val="36"/>
          <w:szCs w:val="36"/>
        </w:rPr>
        <w:t>Rate Calculation:</w:t>
      </w:r>
    </w:p>
    <w:p w14:paraId="4D02AD52" w14:textId="56E05DA6" w:rsidR="00F70EC7" w:rsidRPr="00D203D8" w:rsidRDefault="00843970" w:rsidP="00CA6C95">
      <w:pPr>
        <w:jc w:val="both"/>
        <w:rPr>
          <w:rFonts w:ascii="Book Antiqua" w:hAnsi="Book Antiqua"/>
          <w:sz w:val="20"/>
          <w:szCs w:val="20"/>
        </w:rPr>
      </w:pPr>
      <w:r w:rsidRPr="00D203D8">
        <w:rPr>
          <w:rFonts w:ascii="Book Antiqua" w:hAnsi="Book Antiqua"/>
          <w:sz w:val="20"/>
          <w:szCs w:val="20"/>
        </w:rPr>
        <w:t xml:space="preserve">NVIDIA’s growth rate is </w:t>
      </w:r>
      <w:r w:rsidR="00CC55B6" w:rsidRPr="00D203D8">
        <w:rPr>
          <w:rFonts w:ascii="Book Antiqua" w:hAnsi="Book Antiqua"/>
          <w:sz w:val="20"/>
          <w:szCs w:val="20"/>
        </w:rPr>
        <w:t xml:space="preserve">abnormal where </w:t>
      </w:r>
      <w:proofErr w:type="spellStart"/>
      <w:r w:rsidR="00CC55B6" w:rsidRPr="00D203D8">
        <w:rPr>
          <w:rFonts w:ascii="Book Antiqua" w:hAnsi="Book Antiqua"/>
          <w:sz w:val="20"/>
          <w:szCs w:val="20"/>
        </w:rPr>
        <w:t>FY2023</w:t>
      </w:r>
      <w:proofErr w:type="spellEnd"/>
      <w:r w:rsidR="00CC55B6" w:rsidRPr="00D203D8">
        <w:rPr>
          <w:rFonts w:ascii="Book Antiqua" w:hAnsi="Book Antiqua"/>
          <w:sz w:val="20"/>
          <w:szCs w:val="20"/>
        </w:rPr>
        <w:t xml:space="preserve"> and </w:t>
      </w:r>
      <w:proofErr w:type="spellStart"/>
      <w:r w:rsidR="00CC55B6" w:rsidRPr="00D203D8">
        <w:rPr>
          <w:rFonts w:ascii="Book Antiqua" w:hAnsi="Book Antiqua"/>
          <w:sz w:val="20"/>
          <w:szCs w:val="20"/>
        </w:rPr>
        <w:t>FY2024</w:t>
      </w:r>
      <w:proofErr w:type="spellEnd"/>
      <w:r w:rsidR="00CC55B6" w:rsidRPr="00D203D8">
        <w:rPr>
          <w:rFonts w:ascii="Book Antiqua" w:hAnsi="Book Antiqua"/>
          <w:sz w:val="20"/>
          <w:szCs w:val="20"/>
        </w:rPr>
        <w:t xml:space="preserve"> are outliers</w:t>
      </w:r>
      <w:r w:rsidR="002D64A7" w:rsidRPr="00D203D8">
        <w:rPr>
          <w:rFonts w:ascii="Book Antiqua" w:hAnsi="Book Antiqua"/>
          <w:sz w:val="20"/>
          <w:szCs w:val="20"/>
        </w:rPr>
        <w:t>, 0.12% and 126.08%</w:t>
      </w:r>
      <w:r w:rsidR="00A87B0D" w:rsidRPr="00D203D8">
        <w:rPr>
          <w:rFonts w:ascii="Book Antiqua" w:hAnsi="Book Antiqua"/>
          <w:sz w:val="20"/>
          <w:szCs w:val="20"/>
        </w:rPr>
        <w:t>,</w:t>
      </w:r>
      <w:r w:rsidR="002D64A7" w:rsidRPr="00D203D8">
        <w:rPr>
          <w:rFonts w:ascii="Book Antiqua" w:hAnsi="Book Antiqua"/>
          <w:sz w:val="20"/>
          <w:szCs w:val="20"/>
        </w:rPr>
        <w:t xml:space="preserve"> respectively.</w:t>
      </w:r>
    </w:p>
    <w:p w14:paraId="1B0FBBC7" w14:textId="77777777" w:rsidR="003942C3" w:rsidRPr="00D203D8" w:rsidRDefault="00751AA6" w:rsidP="00CA6C95">
      <w:pPr>
        <w:jc w:val="both"/>
        <w:rPr>
          <w:rFonts w:ascii="Book Antiqua" w:hAnsi="Book Antiqua"/>
          <w:sz w:val="20"/>
          <w:szCs w:val="20"/>
        </w:rPr>
      </w:pPr>
      <w:r w:rsidRPr="00D203D8">
        <w:rPr>
          <w:rFonts w:ascii="Book Antiqua" w:hAnsi="Book Antiqua"/>
          <w:sz w:val="20"/>
          <w:szCs w:val="20"/>
        </w:rPr>
        <w:t xml:space="preserve">For this reason, </w:t>
      </w:r>
      <w:r w:rsidR="00AE53EC" w:rsidRPr="00D203D8">
        <w:rPr>
          <w:rFonts w:ascii="Book Antiqua" w:hAnsi="Book Antiqua"/>
          <w:sz w:val="20"/>
          <w:szCs w:val="20"/>
        </w:rPr>
        <w:t xml:space="preserve">I decided to use the </w:t>
      </w:r>
      <w:r w:rsidR="00AE53EC" w:rsidRPr="00D203D8">
        <w:rPr>
          <w:rFonts w:ascii="Book Antiqua" w:hAnsi="Book Antiqua"/>
          <w:b/>
          <w:bCs/>
          <w:sz w:val="20"/>
          <w:szCs w:val="20"/>
        </w:rPr>
        <w:t>Weighted Average</w:t>
      </w:r>
      <w:r w:rsidR="00AE53EC" w:rsidRPr="00D203D8">
        <w:rPr>
          <w:rFonts w:ascii="Book Antiqua" w:hAnsi="Book Antiqua"/>
          <w:sz w:val="20"/>
          <w:szCs w:val="20"/>
        </w:rPr>
        <w:t xml:space="preserve"> method to</w:t>
      </w:r>
      <w:r w:rsidR="00330A54" w:rsidRPr="00D203D8">
        <w:rPr>
          <w:rFonts w:ascii="Book Antiqua" w:hAnsi="Book Antiqua"/>
          <w:sz w:val="20"/>
          <w:szCs w:val="20"/>
        </w:rPr>
        <w:t xml:space="preserve"> deal with outliers and</w:t>
      </w:r>
      <w:r w:rsidR="00AE53EC" w:rsidRPr="00D203D8">
        <w:rPr>
          <w:rFonts w:ascii="Book Antiqua" w:hAnsi="Book Antiqua"/>
          <w:sz w:val="20"/>
          <w:szCs w:val="20"/>
        </w:rPr>
        <w:t xml:space="preserve"> arrive at a</w:t>
      </w:r>
      <w:r w:rsidR="00A87B0D" w:rsidRPr="00D203D8">
        <w:rPr>
          <w:rFonts w:ascii="Book Antiqua" w:hAnsi="Book Antiqua"/>
          <w:sz w:val="20"/>
          <w:szCs w:val="20"/>
        </w:rPr>
        <w:t>n</w:t>
      </w:r>
      <w:r w:rsidR="00AE53EC" w:rsidRPr="00D203D8">
        <w:rPr>
          <w:rFonts w:ascii="Book Antiqua" w:hAnsi="Book Antiqua"/>
          <w:sz w:val="20"/>
          <w:szCs w:val="20"/>
        </w:rPr>
        <w:t xml:space="preserve"> unbiased growth rate</w:t>
      </w:r>
      <w:r w:rsidR="003942C3" w:rsidRPr="00D203D8">
        <w:rPr>
          <w:rFonts w:ascii="Book Antiqua" w:hAnsi="Book Antiqua"/>
          <w:sz w:val="20"/>
          <w:szCs w:val="20"/>
        </w:rPr>
        <w:t>:</w:t>
      </w:r>
    </w:p>
    <w:p w14:paraId="13919160" w14:textId="6E77921C" w:rsidR="0009376E" w:rsidRPr="00D203D8" w:rsidRDefault="003942C3" w:rsidP="0009376E">
      <w:pPr>
        <w:pStyle w:val="ListParagraph"/>
        <w:numPr>
          <w:ilvl w:val="0"/>
          <w:numId w:val="3"/>
        </w:numPr>
        <w:jc w:val="both"/>
        <w:rPr>
          <w:rFonts w:ascii="Book Antiqua" w:hAnsi="Book Antiqua"/>
          <w:sz w:val="20"/>
          <w:szCs w:val="20"/>
        </w:rPr>
      </w:pPr>
      <w:r w:rsidRPr="00D203D8">
        <w:rPr>
          <w:rFonts w:ascii="Book Antiqua" w:hAnsi="Book Antiqua"/>
          <w:sz w:val="20"/>
          <w:szCs w:val="20"/>
        </w:rPr>
        <w:t xml:space="preserve">Calculate the </w:t>
      </w:r>
      <w:r w:rsidR="00D62FEF" w:rsidRPr="00D203D8">
        <w:rPr>
          <w:rFonts w:ascii="Book Antiqua" w:hAnsi="Book Antiqua"/>
          <w:sz w:val="20"/>
          <w:szCs w:val="20"/>
        </w:rPr>
        <w:t>mean and standard deviation of the growth rates</w:t>
      </w:r>
    </w:p>
    <w:p w14:paraId="2F8FFC2A" w14:textId="77777777" w:rsidR="0009376E" w:rsidRPr="00D203D8" w:rsidRDefault="0009376E" w:rsidP="0009376E">
      <w:pPr>
        <w:pStyle w:val="ListParagraph"/>
        <w:numPr>
          <w:ilvl w:val="0"/>
          <w:numId w:val="3"/>
        </w:numPr>
        <w:jc w:val="both"/>
        <w:rPr>
          <w:rFonts w:ascii="Book Antiqua" w:hAnsi="Book Antiqua"/>
          <w:sz w:val="20"/>
          <w:szCs w:val="20"/>
        </w:rPr>
      </w:pPr>
      <w:r w:rsidRPr="00D203D8">
        <w:rPr>
          <w:rFonts w:ascii="Book Antiqua" w:hAnsi="Book Antiqua"/>
          <w:sz w:val="20"/>
          <w:szCs w:val="20"/>
        </w:rPr>
        <w:t>C</w:t>
      </w:r>
      <w:r w:rsidR="003261E0" w:rsidRPr="00D203D8">
        <w:rPr>
          <w:rFonts w:ascii="Book Antiqua" w:hAnsi="Book Antiqua"/>
          <w:sz w:val="20"/>
          <w:szCs w:val="20"/>
        </w:rPr>
        <w:t xml:space="preserve">alculate </w:t>
      </w:r>
      <w:r w:rsidR="00E65AA0" w:rsidRPr="00D203D8">
        <w:rPr>
          <w:rFonts w:ascii="Book Antiqua" w:hAnsi="Book Antiqua"/>
          <w:sz w:val="20"/>
          <w:szCs w:val="20"/>
        </w:rPr>
        <w:t>the z-score</w:t>
      </w:r>
      <w:r w:rsidR="00983D7A" w:rsidRPr="00D203D8">
        <w:rPr>
          <w:rFonts w:ascii="Book Antiqua" w:hAnsi="Book Antiqua"/>
          <w:sz w:val="20"/>
          <w:szCs w:val="20"/>
        </w:rPr>
        <w:t xml:space="preserve"> for each fiscal year</w:t>
      </w:r>
      <w:r w:rsidR="00E65AA0" w:rsidRPr="00D203D8">
        <w:rPr>
          <w:rFonts w:ascii="Book Antiqua" w:hAnsi="Book Antiqua"/>
          <w:sz w:val="20"/>
          <w:szCs w:val="20"/>
        </w:rPr>
        <w:t xml:space="preserve"> to know how many standard deviations</w:t>
      </w:r>
      <w:r w:rsidR="00556440" w:rsidRPr="00D203D8">
        <w:rPr>
          <w:rFonts w:ascii="Book Antiqua" w:hAnsi="Book Antiqua"/>
          <w:sz w:val="20"/>
          <w:szCs w:val="20"/>
        </w:rPr>
        <w:t xml:space="preserve"> they</w:t>
      </w:r>
      <w:r w:rsidR="00983D7A" w:rsidRPr="00D203D8">
        <w:rPr>
          <w:rFonts w:ascii="Book Antiqua" w:hAnsi="Book Antiqua"/>
          <w:sz w:val="20"/>
          <w:szCs w:val="20"/>
        </w:rPr>
        <w:t xml:space="preserve"> </w:t>
      </w:r>
      <w:r w:rsidR="00587B01" w:rsidRPr="00D203D8">
        <w:rPr>
          <w:rFonts w:ascii="Book Antiqua" w:hAnsi="Book Antiqua"/>
          <w:sz w:val="20"/>
          <w:szCs w:val="20"/>
        </w:rPr>
        <w:t>are away</w:t>
      </w:r>
      <w:r w:rsidR="00983D7A" w:rsidRPr="00D203D8">
        <w:rPr>
          <w:rFonts w:ascii="Book Antiqua" w:hAnsi="Book Antiqua"/>
          <w:sz w:val="20"/>
          <w:szCs w:val="20"/>
        </w:rPr>
        <w:t xml:space="preserve"> from the mean</w:t>
      </w:r>
      <w:r w:rsidR="00556440" w:rsidRPr="00D203D8">
        <w:rPr>
          <w:rFonts w:ascii="Book Antiqua" w:hAnsi="Book Antiqua"/>
          <w:sz w:val="20"/>
          <w:szCs w:val="20"/>
        </w:rPr>
        <w:t>.</w:t>
      </w:r>
      <w:r w:rsidR="00E42C09" w:rsidRPr="00D203D8">
        <w:rPr>
          <w:rFonts w:ascii="Book Antiqua" w:hAnsi="Book Antiqua"/>
          <w:sz w:val="20"/>
          <w:szCs w:val="20"/>
        </w:rPr>
        <w:t xml:space="preserve"> </w:t>
      </w:r>
    </w:p>
    <w:p w14:paraId="1D6D6D8E" w14:textId="77777777" w:rsidR="00484BBB" w:rsidRPr="00D203D8" w:rsidRDefault="0009376E" w:rsidP="0009376E">
      <w:pPr>
        <w:pStyle w:val="ListParagraph"/>
        <w:numPr>
          <w:ilvl w:val="0"/>
          <w:numId w:val="3"/>
        </w:numPr>
        <w:jc w:val="both"/>
        <w:rPr>
          <w:rFonts w:ascii="Book Antiqua" w:hAnsi="Book Antiqua"/>
          <w:sz w:val="20"/>
          <w:szCs w:val="20"/>
        </w:rPr>
      </w:pPr>
      <w:r w:rsidRPr="00D203D8">
        <w:rPr>
          <w:rFonts w:ascii="Book Antiqua" w:hAnsi="Book Antiqua"/>
          <w:sz w:val="20"/>
          <w:szCs w:val="20"/>
        </w:rPr>
        <w:t xml:space="preserve">Calculate the </w:t>
      </w:r>
      <w:r w:rsidR="00E42C09" w:rsidRPr="00D203D8">
        <w:rPr>
          <w:rFonts w:ascii="Book Antiqua" w:hAnsi="Book Antiqua"/>
          <w:sz w:val="20"/>
          <w:szCs w:val="20"/>
        </w:rPr>
        <w:t>inverse z-score as the weig</w:t>
      </w:r>
      <w:r w:rsidRPr="00D203D8">
        <w:rPr>
          <w:rFonts w:ascii="Book Antiqua" w:hAnsi="Book Antiqua"/>
          <w:sz w:val="20"/>
          <w:szCs w:val="20"/>
        </w:rPr>
        <w:t xml:space="preserve">ht </w:t>
      </w:r>
      <w:r w:rsidR="00484BBB" w:rsidRPr="00D203D8">
        <w:rPr>
          <w:rFonts w:ascii="Book Antiqua" w:hAnsi="Book Antiqua"/>
          <w:sz w:val="20"/>
          <w:szCs w:val="20"/>
        </w:rPr>
        <w:t>should h</w:t>
      </w:r>
      <w:r w:rsidR="00E42C09" w:rsidRPr="00D203D8">
        <w:rPr>
          <w:rFonts w:ascii="Book Antiqua" w:hAnsi="Book Antiqua"/>
          <w:sz w:val="20"/>
          <w:szCs w:val="20"/>
        </w:rPr>
        <w:t>a</w:t>
      </w:r>
      <w:r w:rsidR="00484BBB" w:rsidRPr="00D203D8">
        <w:rPr>
          <w:rFonts w:ascii="Book Antiqua" w:hAnsi="Book Antiqua"/>
          <w:sz w:val="20"/>
          <w:szCs w:val="20"/>
        </w:rPr>
        <w:t>ve</w:t>
      </w:r>
      <w:r w:rsidR="00E42C09" w:rsidRPr="00D203D8">
        <w:rPr>
          <w:rFonts w:ascii="Book Antiqua" w:hAnsi="Book Antiqua"/>
          <w:sz w:val="20"/>
          <w:szCs w:val="20"/>
        </w:rPr>
        <w:t xml:space="preserve"> </w:t>
      </w:r>
      <w:r w:rsidR="00484BBB" w:rsidRPr="00D203D8">
        <w:rPr>
          <w:rFonts w:ascii="Book Antiqua" w:hAnsi="Book Antiqua"/>
          <w:sz w:val="20"/>
          <w:szCs w:val="20"/>
        </w:rPr>
        <w:t xml:space="preserve">an </w:t>
      </w:r>
      <w:r w:rsidR="00E42C09" w:rsidRPr="00D203D8">
        <w:rPr>
          <w:rFonts w:ascii="Book Antiqua" w:hAnsi="Book Antiqua"/>
          <w:sz w:val="20"/>
          <w:szCs w:val="20"/>
        </w:rPr>
        <w:t xml:space="preserve">inverse relation with </w:t>
      </w:r>
      <w:r w:rsidR="00C41822" w:rsidRPr="00D203D8">
        <w:rPr>
          <w:rFonts w:ascii="Book Antiqua" w:hAnsi="Book Antiqua"/>
          <w:sz w:val="20"/>
          <w:szCs w:val="20"/>
        </w:rPr>
        <w:t xml:space="preserve">z-score </w:t>
      </w:r>
    </w:p>
    <w:p w14:paraId="426812EC" w14:textId="3A154061" w:rsidR="00022351" w:rsidRPr="00D203D8" w:rsidRDefault="00103DDC" w:rsidP="0009376E">
      <w:pPr>
        <w:pStyle w:val="ListParagraph"/>
        <w:numPr>
          <w:ilvl w:val="0"/>
          <w:numId w:val="3"/>
        </w:numPr>
        <w:jc w:val="both"/>
        <w:rPr>
          <w:rFonts w:ascii="Book Antiqua" w:hAnsi="Book Antiqua"/>
          <w:sz w:val="20"/>
          <w:szCs w:val="20"/>
        </w:rPr>
      </w:pPr>
      <w:r w:rsidRPr="00D203D8">
        <w:rPr>
          <w:rFonts w:ascii="Book Antiqua" w:hAnsi="Book Antiqua"/>
          <w:sz w:val="20"/>
          <w:szCs w:val="20"/>
        </w:rPr>
        <w:t xml:space="preserve">Inverse z-score will represent </w:t>
      </w:r>
      <w:r w:rsidR="00B26A82" w:rsidRPr="00D203D8">
        <w:rPr>
          <w:rFonts w:ascii="Book Antiqua" w:hAnsi="Book Antiqua"/>
          <w:sz w:val="20"/>
          <w:szCs w:val="20"/>
        </w:rPr>
        <w:t xml:space="preserve">raw </w:t>
      </w:r>
      <w:r w:rsidRPr="00D203D8">
        <w:rPr>
          <w:rFonts w:ascii="Book Antiqua" w:hAnsi="Book Antiqua"/>
          <w:sz w:val="20"/>
          <w:szCs w:val="20"/>
        </w:rPr>
        <w:t>initial weight</w:t>
      </w:r>
      <w:r w:rsidR="009A2B28" w:rsidRPr="00D203D8">
        <w:rPr>
          <w:rFonts w:ascii="Book Antiqua" w:hAnsi="Book Antiqua"/>
          <w:sz w:val="20"/>
          <w:szCs w:val="20"/>
        </w:rPr>
        <w:t xml:space="preserve"> for each data point</w:t>
      </w:r>
      <w:r w:rsidR="00B26A82" w:rsidRPr="00D203D8">
        <w:rPr>
          <w:rFonts w:ascii="Book Antiqua" w:hAnsi="Book Antiqua"/>
          <w:sz w:val="20"/>
          <w:szCs w:val="20"/>
        </w:rPr>
        <w:t xml:space="preserve"> </w:t>
      </w:r>
      <w:r w:rsidR="009A2B28" w:rsidRPr="00D203D8">
        <w:rPr>
          <w:rFonts w:ascii="Book Antiqua" w:hAnsi="Book Antiqua"/>
          <w:sz w:val="20"/>
          <w:szCs w:val="20"/>
        </w:rPr>
        <w:t>(</w:t>
      </w:r>
      <w:r w:rsidR="00B26A82" w:rsidRPr="00D203D8">
        <w:rPr>
          <w:rFonts w:ascii="Book Antiqua" w:hAnsi="Book Antiqua"/>
          <w:sz w:val="20"/>
          <w:szCs w:val="20"/>
        </w:rPr>
        <w:t>not expressed in percentage</w:t>
      </w:r>
      <w:r w:rsidR="009A2B28" w:rsidRPr="00D203D8">
        <w:rPr>
          <w:rFonts w:ascii="Book Antiqua" w:hAnsi="Book Antiqua"/>
          <w:sz w:val="20"/>
          <w:szCs w:val="20"/>
        </w:rPr>
        <w:t>)</w:t>
      </w:r>
      <w:r w:rsidR="00B26A82" w:rsidRPr="00D203D8">
        <w:rPr>
          <w:rFonts w:ascii="Book Antiqua" w:hAnsi="Book Antiqua"/>
          <w:sz w:val="20"/>
          <w:szCs w:val="20"/>
        </w:rPr>
        <w:t>.</w:t>
      </w:r>
    </w:p>
    <w:p w14:paraId="278160EE" w14:textId="56AF63A4" w:rsidR="00600334" w:rsidRPr="00D203D8" w:rsidRDefault="00600334" w:rsidP="00CA6C95">
      <w:pPr>
        <w:jc w:val="both"/>
        <w:rPr>
          <w:rFonts w:ascii="Book Antiqua" w:hAnsi="Book Antiqua"/>
          <w:sz w:val="20"/>
          <w:szCs w:val="20"/>
        </w:rPr>
      </w:pPr>
      <w:r w:rsidRPr="00D203D8">
        <w:rPr>
          <w:rFonts w:ascii="Book Antiqua" w:hAnsi="Book Antiqua"/>
          <w:sz w:val="20"/>
          <w:szCs w:val="20"/>
        </w:rPr>
        <w:lastRenderedPageBreak/>
        <w:t xml:space="preserve">After </w:t>
      </w:r>
      <w:r w:rsidR="006B7243" w:rsidRPr="00D203D8">
        <w:rPr>
          <w:rFonts w:ascii="Book Antiqua" w:hAnsi="Book Antiqua"/>
          <w:sz w:val="20"/>
          <w:szCs w:val="20"/>
        </w:rPr>
        <w:t xml:space="preserve">calculating </w:t>
      </w:r>
      <w:r w:rsidRPr="00D203D8">
        <w:rPr>
          <w:rFonts w:ascii="Book Antiqua" w:hAnsi="Book Antiqua"/>
          <w:sz w:val="20"/>
          <w:szCs w:val="20"/>
        </w:rPr>
        <w:t>the initial assigned weight</w:t>
      </w:r>
      <w:r w:rsidR="00B26A82" w:rsidRPr="00D203D8">
        <w:rPr>
          <w:rFonts w:ascii="Book Antiqua" w:hAnsi="Book Antiqua"/>
          <w:sz w:val="20"/>
          <w:szCs w:val="20"/>
        </w:rPr>
        <w:t xml:space="preserve"> (%)</w:t>
      </w:r>
      <w:r w:rsidRPr="00D203D8">
        <w:rPr>
          <w:rFonts w:ascii="Book Antiqua" w:hAnsi="Book Antiqua"/>
          <w:sz w:val="20"/>
          <w:szCs w:val="20"/>
        </w:rPr>
        <w:t xml:space="preserve">, I decided to set </w:t>
      </w:r>
      <w:r w:rsidR="007E2123" w:rsidRPr="00D203D8">
        <w:rPr>
          <w:rFonts w:ascii="Book Antiqua" w:hAnsi="Book Antiqua"/>
          <w:sz w:val="20"/>
          <w:szCs w:val="20"/>
        </w:rPr>
        <w:t xml:space="preserve">a </w:t>
      </w:r>
      <w:r w:rsidRPr="00D203D8">
        <w:rPr>
          <w:rFonts w:ascii="Book Antiqua" w:hAnsi="Book Antiqua"/>
          <w:sz w:val="20"/>
          <w:szCs w:val="20"/>
        </w:rPr>
        <w:t>weight cap of 40%</w:t>
      </w:r>
      <w:r w:rsidR="00206143" w:rsidRPr="00D203D8">
        <w:rPr>
          <w:rFonts w:ascii="Book Antiqua" w:hAnsi="Book Antiqua"/>
          <w:sz w:val="20"/>
          <w:szCs w:val="20"/>
        </w:rPr>
        <w:t xml:space="preserve"> to prevent any overestimation of any data points, especially when those data points are </w:t>
      </w:r>
      <w:r w:rsidR="00EC391B" w:rsidRPr="00D203D8">
        <w:rPr>
          <w:rFonts w:ascii="Book Antiqua" w:hAnsi="Book Antiqua"/>
          <w:sz w:val="20"/>
          <w:szCs w:val="20"/>
        </w:rPr>
        <w:t>historical data.</w:t>
      </w:r>
      <w:r w:rsidR="00DC21AC" w:rsidRPr="00D203D8">
        <w:rPr>
          <w:rFonts w:ascii="Book Antiqua" w:hAnsi="Book Antiqua"/>
          <w:sz w:val="20"/>
          <w:szCs w:val="20"/>
        </w:rPr>
        <w:t xml:space="preserve"> </w:t>
      </w:r>
      <w:r w:rsidR="005F066E" w:rsidRPr="00D203D8">
        <w:rPr>
          <w:rFonts w:ascii="Book Antiqua" w:hAnsi="Book Antiqua"/>
          <w:sz w:val="20"/>
          <w:szCs w:val="20"/>
        </w:rPr>
        <w:t>A</w:t>
      </w:r>
      <w:r w:rsidR="00DC21AC" w:rsidRPr="00D203D8">
        <w:rPr>
          <w:rFonts w:ascii="Book Antiqua" w:hAnsi="Book Antiqua"/>
          <w:sz w:val="20"/>
          <w:szCs w:val="20"/>
        </w:rPr>
        <w:t xml:space="preserve">ny </w:t>
      </w:r>
      <w:r w:rsidR="005F066E" w:rsidRPr="00D203D8">
        <w:rPr>
          <w:rFonts w:ascii="Book Antiqua" w:hAnsi="Book Antiqua"/>
          <w:sz w:val="20"/>
          <w:szCs w:val="20"/>
        </w:rPr>
        <w:t>remaining</w:t>
      </w:r>
      <w:r w:rsidR="00DC21AC" w:rsidRPr="00D203D8">
        <w:rPr>
          <w:rFonts w:ascii="Book Antiqua" w:hAnsi="Book Antiqua"/>
          <w:sz w:val="20"/>
          <w:szCs w:val="20"/>
        </w:rPr>
        <w:t xml:space="preserve"> weight</w:t>
      </w:r>
      <w:r w:rsidR="001A128E" w:rsidRPr="00D203D8">
        <w:rPr>
          <w:rFonts w:ascii="Book Antiqua" w:hAnsi="Book Antiqua"/>
          <w:sz w:val="20"/>
          <w:szCs w:val="20"/>
        </w:rPr>
        <w:t xml:space="preserve"> from </w:t>
      </w:r>
      <w:r w:rsidR="005F066E" w:rsidRPr="00D203D8">
        <w:rPr>
          <w:rFonts w:ascii="Book Antiqua" w:hAnsi="Book Antiqua"/>
          <w:sz w:val="20"/>
          <w:szCs w:val="20"/>
        </w:rPr>
        <w:t xml:space="preserve">the </w:t>
      </w:r>
      <w:r w:rsidR="001A128E" w:rsidRPr="00D203D8">
        <w:rPr>
          <w:rFonts w:ascii="Book Antiqua" w:hAnsi="Book Antiqua"/>
          <w:sz w:val="20"/>
          <w:szCs w:val="20"/>
        </w:rPr>
        <w:t>weight cap will be distributed proportionally against the</w:t>
      </w:r>
      <w:r w:rsidR="00022351" w:rsidRPr="00D203D8">
        <w:rPr>
          <w:rFonts w:ascii="Book Antiqua" w:hAnsi="Book Antiqua"/>
          <w:sz w:val="20"/>
          <w:szCs w:val="20"/>
        </w:rPr>
        <w:t xml:space="preserve"> inverse</w:t>
      </w:r>
      <w:r w:rsidR="001A128E" w:rsidRPr="00D203D8">
        <w:rPr>
          <w:rFonts w:ascii="Book Antiqua" w:hAnsi="Book Antiqua"/>
          <w:sz w:val="20"/>
          <w:szCs w:val="20"/>
        </w:rPr>
        <w:t xml:space="preserve"> z-score</w:t>
      </w:r>
      <w:r w:rsidR="00DA2427" w:rsidRPr="00D203D8">
        <w:rPr>
          <w:rFonts w:ascii="Book Antiqua" w:hAnsi="Book Antiqua"/>
          <w:sz w:val="20"/>
          <w:szCs w:val="20"/>
        </w:rPr>
        <w:t xml:space="preserve"> </w:t>
      </w:r>
      <w:r w:rsidR="007E2123" w:rsidRPr="00D203D8">
        <w:rPr>
          <w:rFonts w:ascii="Book Antiqua" w:hAnsi="Book Antiqua"/>
          <w:sz w:val="20"/>
          <w:szCs w:val="20"/>
        </w:rPr>
        <w:t>of</w:t>
      </w:r>
      <w:r w:rsidR="00DA2427" w:rsidRPr="00D203D8">
        <w:rPr>
          <w:rFonts w:ascii="Book Antiqua" w:hAnsi="Book Antiqua"/>
          <w:sz w:val="20"/>
          <w:szCs w:val="20"/>
        </w:rPr>
        <w:t xml:space="preserve"> each fiscal year</w:t>
      </w:r>
      <w:r w:rsidR="00CA6C95" w:rsidRPr="00D203D8">
        <w:rPr>
          <w:rFonts w:ascii="Book Antiqua" w:hAnsi="Book Antiqua"/>
          <w:sz w:val="20"/>
          <w:szCs w:val="20"/>
        </w:rPr>
        <w:t>.</w:t>
      </w:r>
    </w:p>
    <w:p w14:paraId="0D897F2D" w14:textId="1198AA3A" w:rsidR="002B561C" w:rsidRPr="00D203D8" w:rsidRDefault="00CA6C95" w:rsidP="00CA6C95">
      <w:pPr>
        <w:jc w:val="both"/>
        <w:rPr>
          <w:rFonts w:ascii="Book Antiqua" w:hAnsi="Book Antiqua"/>
          <w:sz w:val="20"/>
          <w:szCs w:val="20"/>
        </w:rPr>
      </w:pPr>
      <w:r w:rsidRPr="00D203D8">
        <w:rPr>
          <w:rFonts w:ascii="Book Antiqua" w:hAnsi="Book Antiqua"/>
          <w:sz w:val="20"/>
          <w:szCs w:val="20"/>
        </w:rPr>
        <w:t xml:space="preserve">New weight </w:t>
      </w:r>
      <w:r w:rsidR="002B561C" w:rsidRPr="00D203D8">
        <w:rPr>
          <w:rFonts w:ascii="Book Antiqua" w:hAnsi="Book Antiqua"/>
          <w:sz w:val="20"/>
          <w:szCs w:val="20"/>
        </w:rPr>
        <w:t>after distribution can exceed 40% cap, thus repeating the process.</w:t>
      </w:r>
    </w:p>
    <w:p w14:paraId="03253C5B" w14:textId="6BEF6E95" w:rsidR="00C41822" w:rsidRPr="00D203D8" w:rsidRDefault="007E5253" w:rsidP="00CA6C95">
      <w:pPr>
        <w:jc w:val="both"/>
        <w:rPr>
          <w:rFonts w:ascii="Book Antiqua" w:hAnsi="Book Antiqua"/>
          <w:sz w:val="20"/>
          <w:szCs w:val="20"/>
        </w:rPr>
      </w:pPr>
      <w:r w:rsidRPr="00D203D8">
        <w:rPr>
          <w:rFonts w:ascii="Book Antiqua" w:hAnsi="Book Antiqua"/>
          <w:sz w:val="20"/>
          <w:szCs w:val="20"/>
        </w:rPr>
        <w:t xml:space="preserve">I </w:t>
      </w:r>
      <w:r w:rsidR="00697371" w:rsidRPr="00D203D8">
        <w:rPr>
          <w:rFonts w:ascii="Book Antiqua" w:hAnsi="Book Antiqua"/>
          <w:sz w:val="20"/>
          <w:szCs w:val="20"/>
        </w:rPr>
        <w:t xml:space="preserve">try to avoid setting growth rate cap since </w:t>
      </w:r>
      <w:r w:rsidR="00870716" w:rsidRPr="00D203D8">
        <w:rPr>
          <w:rFonts w:ascii="Book Antiqua" w:hAnsi="Book Antiqua"/>
          <w:sz w:val="20"/>
          <w:szCs w:val="20"/>
        </w:rPr>
        <w:t>they</w:t>
      </w:r>
      <w:r w:rsidR="00D82741" w:rsidRPr="00D203D8">
        <w:rPr>
          <w:rFonts w:ascii="Book Antiqua" w:hAnsi="Book Antiqua"/>
          <w:sz w:val="20"/>
          <w:szCs w:val="20"/>
        </w:rPr>
        <w:t xml:space="preserve"> are raw data and</w:t>
      </w:r>
      <w:r w:rsidR="00870716" w:rsidRPr="00D203D8">
        <w:rPr>
          <w:rFonts w:ascii="Book Antiqua" w:hAnsi="Book Antiqua"/>
          <w:sz w:val="20"/>
          <w:szCs w:val="20"/>
        </w:rPr>
        <w:t xml:space="preserve"> reflect market conditions and growth</w:t>
      </w:r>
      <w:r w:rsidR="00B73FED" w:rsidRPr="00D203D8">
        <w:rPr>
          <w:rFonts w:ascii="Book Antiqua" w:hAnsi="Book Antiqua"/>
          <w:sz w:val="20"/>
          <w:szCs w:val="20"/>
        </w:rPr>
        <w:t xml:space="preserve"> relative to NVIDIA.</w:t>
      </w:r>
      <w:r w:rsidR="00DD3815" w:rsidRPr="00D203D8">
        <w:rPr>
          <w:rFonts w:ascii="Book Antiqua" w:hAnsi="Book Antiqua"/>
          <w:sz w:val="20"/>
          <w:szCs w:val="20"/>
        </w:rPr>
        <w:t xml:space="preserve"> This results in a </w:t>
      </w:r>
      <w:r w:rsidR="00DD198F" w:rsidRPr="00D203D8">
        <w:rPr>
          <w:rFonts w:ascii="Book Antiqua" w:hAnsi="Book Antiqua"/>
          <w:sz w:val="20"/>
          <w:szCs w:val="20"/>
        </w:rPr>
        <w:t>very high</w:t>
      </w:r>
      <w:r w:rsidR="00DD3815" w:rsidRPr="00D203D8">
        <w:rPr>
          <w:rFonts w:ascii="Book Antiqua" w:hAnsi="Book Antiqua"/>
          <w:sz w:val="20"/>
          <w:szCs w:val="20"/>
        </w:rPr>
        <w:t xml:space="preserve"> </w:t>
      </w:r>
      <w:r w:rsidR="00ED0805" w:rsidRPr="00D203D8">
        <w:rPr>
          <w:rFonts w:ascii="Book Antiqua" w:hAnsi="Book Antiqua"/>
          <w:sz w:val="20"/>
          <w:szCs w:val="20"/>
        </w:rPr>
        <w:t xml:space="preserve">weighted average growth rate, which </w:t>
      </w:r>
      <w:r w:rsidR="00DD198F" w:rsidRPr="00D203D8">
        <w:rPr>
          <w:rFonts w:ascii="Book Antiqua" w:hAnsi="Book Antiqua"/>
          <w:sz w:val="20"/>
          <w:szCs w:val="20"/>
        </w:rPr>
        <w:t>aligns</w:t>
      </w:r>
      <w:r w:rsidR="00ED0805" w:rsidRPr="00D203D8">
        <w:rPr>
          <w:rFonts w:ascii="Book Antiqua" w:hAnsi="Book Antiqua"/>
          <w:sz w:val="20"/>
          <w:szCs w:val="20"/>
        </w:rPr>
        <w:t xml:space="preserve"> with my expectations of further immediate growth </w:t>
      </w:r>
      <w:r w:rsidR="00DD198F" w:rsidRPr="00D203D8">
        <w:rPr>
          <w:rFonts w:ascii="Book Antiqua" w:hAnsi="Book Antiqua"/>
          <w:sz w:val="20"/>
          <w:szCs w:val="20"/>
        </w:rPr>
        <w:t xml:space="preserve">for NVIDIA. </w:t>
      </w:r>
      <w:r w:rsidR="00025615" w:rsidRPr="00D203D8">
        <w:rPr>
          <w:rFonts w:ascii="Book Antiqua" w:hAnsi="Book Antiqua"/>
          <w:sz w:val="20"/>
          <w:szCs w:val="20"/>
        </w:rPr>
        <w:t xml:space="preserve">This growth rate is then tapered down by a step of 10% annually, </w:t>
      </w:r>
      <w:r w:rsidR="00A026AA" w:rsidRPr="00D203D8">
        <w:rPr>
          <w:rFonts w:ascii="Book Antiqua" w:hAnsi="Book Antiqua"/>
          <w:sz w:val="20"/>
          <w:szCs w:val="20"/>
        </w:rPr>
        <w:t>reflecting</w:t>
      </w:r>
      <w:r w:rsidR="00025615" w:rsidRPr="00D203D8">
        <w:rPr>
          <w:rFonts w:ascii="Book Antiqua" w:hAnsi="Book Antiqua"/>
          <w:sz w:val="20"/>
          <w:szCs w:val="20"/>
        </w:rPr>
        <w:t xml:space="preserve"> </w:t>
      </w:r>
      <w:r w:rsidR="00DD01DF" w:rsidRPr="00D203D8">
        <w:rPr>
          <w:rFonts w:ascii="Book Antiqua" w:hAnsi="Book Antiqua"/>
          <w:sz w:val="20"/>
          <w:szCs w:val="20"/>
        </w:rPr>
        <w:t xml:space="preserve">when </w:t>
      </w:r>
      <w:r w:rsidR="00025615" w:rsidRPr="00D203D8">
        <w:rPr>
          <w:rFonts w:ascii="Book Antiqua" w:hAnsi="Book Antiqua"/>
          <w:sz w:val="20"/>
          <w:szCs w:val="20"/>
        </w:rPr>
        <w:t>the</w:t>
      </w:r>
      <w:r w:rsidR="00A026AA" w:rsidRPr="00D203D8">
        <w:rPr>
          <w:rFonts w:ascii="Book Antiqua" w:hAnsi="Book Antiqua"/>
          <w:sz w:val="20"/>
          <w:szCs w:val="20"/>
        </w:rPr>
        <w:t xml:space="preserve"> exponential curve </w:t>
      </w:r>
      <w:r w:rsidR="00DD01DF" w:rsidRPr="00D203D8">
        <w:rPr>
          <w:rFonts w:ascii="Book Antiqua" w:hAnsi="Book Antiqua"/>
          <w:sz w:val="20"/>
          <w:szCs w:val="20"/>
        </w:rPr>
        <w:t xml:space="preserve">flattens </w:t>
      </w:r>
      <w:r w:rsidR="00A026AA" w:rsidRPr="00D203D8">
        <w:rPr>
          <w:rFonts w:ascii="Book Antiqua" w:hAnsi="Book Antiqua"/>
          <w:sz w:val="20"/>
          <w:szCs w:val="20"/>
        </w:rPr>
        <w:t>over time</w:t>
      </w:r>
      <w:r w:rsidR="00FA7905" w:rsidRPr="00D203D8">
        <w:rPr>
          <w:rFonts w:ascii="Book Antiqua" w:hAnsi="Book Antiqua"/>
          <w:sz w:val="20"/>
          <w:szCs w:val="20"/>
        </w:rPr>
        <w:t xml:space="preserve"> when NVIDIA reaches maturity.</w:t>
      </w:r>
    </w:p>
    <w:p w14:paraId="704FC325" w14:textId="383967C9" w:rsidR="00D203D8" w:rsidRDefault="00D203D8" w:rsidP="00D203D8">
      <w:pPr>
        <w:pStyle w:val="Heading1"/>
        <w:rPr>
          <w:rFonts w:ascii="Book Antiqua" w:hAnsi="Book Antiqua"/>
        </w:rPr>
      </w:pPr>
      <w:r w:rsidRPr="00D203D8">
        <w:rPr>
          <w:rFonts w:ascii="Book Antiqua" w:hAnsi="Book Antiqua"/>
        </w:rPr>
        <w:t>Us</w:t>
      </w:r>
      <w:r w:rsidR="009A3385">
        <w:rPr>
          <w:rFonts w:ascii="Book Antiqua" w:hAnsi="Book Antiqua"/>
        </w:rPr>
        <w:t>ing</w:t>
      </w:r>
      <w:r w:rsidRPr="00D203D8">
        <w:rPr>
          <w:rFonts w:ascii="Book Antiqua" w:hAnsi="Book Antiqua"/>
        </w:rPr>
        <w:t xml:space="preserve"> Debt as a Plug</w:t>
      </w:r>
    </w:p>
    <w:p w14:paraId="69E673EA" w14:textId="70E38B40" w:rsidR="00D203D8" w:rsidRPr="00581F03" w:rsidRDefault="00D203D8" w:rsidP="00D203D8">
      <w:pPr>
        <w:rPr>
          <w:rFonts w:ascii="Book Antiqua" w:hAnsi="Book Antiqua"/>
          <w:sz w:val="20"/>
          <w:szCs w:val="20"/>
        </w:rPr>
      </w:pPr>
      <w:r w:rsidRPr="00581F03">
        <w:rPr>
          <w:rFonts w:ascii="Book Antiqua" w:hAnsi="Book Antiqua"/>
          <w:sz w:val="20"/>
          <w:szCs w:val="20"/>
        </w:rPr>
        <w:t xml:space="preserve">After projecting out </w:t>
      </w:r>
      <w:r w:rsidR="007B30F2" w:rsidRPr="00581F03">
        <w:rPr>
          <w:rFonts w:ascii="Book Antiqua" w:hAnsi="Book Antiqua"/>
          <w:sz w:val="20"/>
          <w:szCs w:val="20"/>
        </w:rPr>
        <w:t xml:space="preserve">the Balance Sheet, there was an imbalance since I </w:t>
      </w:r>
      <w:r w:rsidR="008E5F84" w:rsidRPr="00581F03">
        <w:rPr>
          <w:rFonts w:ascii="Book Antiqua" w:hAnsi="Book Antiqua"/>
          <w:sz w:val="20"/>
          <w:szCs w:val="20"/>
        </w:rPr>
        <w:t>simplified</w:t>
      </w:r>
      <w:r w:rsidR="007B30F2" w:rsidRPr="00581F03">
        <w:rPr>
          <w:rFonts w:ascii="Book Antiqua" w:hAnsi="Book Antiqua"/>
          <w:sz w:val="20"/>
          <w:szCs w:val="20"/>
        </w:rPr>
        <w:t xml:space="preserve"> future debt as zero for NVIDIA for the sake of simplicity.</w:t>
      </w:r>
      <w:r w:rsidR="008E5F84" w:rsidRPr="00581F03">
        <w:rPr>
          <w:rFonts w:ascii="Book Antiqua" w:hAnsi="Book Antiqua"/>
          <w:sz w:val="20"/>
          <w:szCs w:val="20"/>
        </w:rPr>
        <w:t xml:space="preserve"> To counter this, I decided to use debt as a plug to balance the sheet.</w:t>
      </w:r>
    </w:p>
    <w:p w14:paraId="1E7D9A80" w14:textId="3C028980" w:rsidR="008E5F84" w:rsidRPr="00581F03" w:rsidRDefault="008E5F84" w:rsidP="00D203D8">
      <w:pPr>
        <w:rPr>
          <w:rFonts w:ascii="Book Antiqua" w:hAnsi="Book Antiqua"/>
          <w:sz w:val="20"/>
          <w:szCs w:val="20"/>
        </w:rPr>
      </w:pPr>
      <w:r w:rsidRPr="00581F03">
        <w:rPr>
          <w:rFonts w:ascii="Book Antiqua" w:hAnsi="Book Antiqua"/>
          <w:sz w:val="20"/>
          <w:szCs w:val="20"/>
        </w:rPr>
        <w:t>Reasoning:</w:t>
      </w:r>
    </w:p>
    <w:p w14:paraId="6B54512C" w14:textId="070D23FC" w:rsidR="008E5F84" w:rsidRPr="00581F03" w:rsidRDefault="00FF333E" w:rsidP="008E5F84">
      <w:pPr>
        <w:pStyle w:val="ListParagraph"/>
        <w:numPr>
          <w:ilvl w:val="0"/>
          <w:numId w:val="10"/>
        </w:numPr>
        <w:rPr>
          <w:rFonts w:ascii="Book Antiqua" w:hAnsi="Book Antiqua"/>
          <w:sz w:val="20"/>
          <w:szCs w:val="20"/>
        </w:rPr>
      </w:pPr>
      <w:r w:rsidRPr="00581F03">
        <w:rPr>
          <w:rFonts w:ascii="Book Antiqua" w:hAnsi="Book Antiqua"/>
          <w:sz w:val="20"/>
          <w:szCs w:val="20"/>
        </w:rPr>
        <w:t xml:space="preserve">To </w:t>
      </w:r>
      <w:r w:rsidR="00951C59" w:rsidRPr="00581F03">
        <w:rPr>
          <w:rFonts w:ascii="Book Antiqua" w:hAnsi="Book Antiqua"/>
          <w:sz w:val="20"/>
          <w:szCs w:val="20"/>
        </w:rPr>
        <w:t>account for the fact that I assume zero debt in my projections</w:t>
      </w:r>
      <w:r w:rsidR="005B6A94" w:rsidRPr="00581F03">
        <w:rPr>
          <w:rFonts w:ascii="Book Antiqua" w:hAnsi="Book Antiqua"/>
          <w:sz w:val="20"/>
          <w:szCs w:val="20"/>
        </w:rPr>
        <w:t>.</w:t>
      </w:r>
    </w:p>
    <w:p w14:paraId="24CFF755" w14:textId="29F715D4" w:rsidR="00DD124B" w:rsidRPr="00581F03" w:rsidRDefault="00DD124B" w:rsidP="008E5F84">
      <w:pPr>
        <w:pStyle w:val="ListParagraph"/>
        <w:numPr>
          <w:ilvl w:val="0"/>
          <w:numId w:val="10"/>
        </w:numPr>
        <w:rPr>
          <w:rFonts w:ascii="Book Antiqua" w:hAnsi="Book Antiqua"/>
          <w:sz w:val="20"/>
          <w:szCs w:val="20"/>
        </w:rPr>
      </w:pPr>
      <w:r w:rsidRPr="00581F03">
        <w:rPr>
          <w:rFonts w:ascii="Book Antiqua" w:hAnsi="Book Antiqua"/>
          <w:sz w:val="20"/>
          <w:szCs w:val="20"/>
        </w:rPr>
        <w:t>NVIDIA is a strong cash generating company, issuing debt should not be a problem</w:t>
      </w:r>
      <w:r w:rsidR="005B6A94" w:rsidRPr="00581F03">
        <w:rPr>
          <w:rFonts w:ascii="Book Antiqua" w:hAnsi="Book Antiqua"/>
          <w:sz w:val="20"/>
          <w:szCs w:val="20"/>
        </w:rPr>
        <w:t>.</w:t>
      </w:r>
    </w:p>
    <w:p w14:paraId="54737F7F" w14:textId="442400FA" w:rsidR="005B6A94" w:rsidRPr="00581F03" w:rsidRDefault="005B6A94" w:rsidP="008E5F84">
      <w:pPr>
        <w:pStyle w:val="ListParagraph"/>
        <w:numPr>
          <w:ilvl w:val="0"/>
          <w:numId w:val="10"/>
        </w:numPr>
        <w:rPr>
          <w:rFonts w:ascii="Book Antiqua" w:hAnsi="Book Antiqua"/>
          <w:sz w:val="20"/>
          <w:szCs w:val="20"/>
        </w:rPr>
      </w:pPr>
      <w:r w:rsidRPr="00581F03">
        <w:rPr>
          <w:rFonts w:ascii="Book Antiqua" w:hAnsi="Book Antiqua"/>
          <w:sz w:val="20"/>
          <w:szCs w:val="20"/>
        </w:rPr>
        <w:t xml:space="preserve">Current Debt to Total Capitalization </w:t>
      </w:r>
      <w:r w:rsidR="00FA4347" w:rsidRPr="00581F03">
        <w:rPr>
          <w:rFonts w:ascii="Book Antiqua" w:hAnsi="Book Antiqua"/>
          <w:sz w:val="20"/>
          <w:szCs w:val="20"/>
        </w:rPr>
        <w:t xml:space="preserve">ratio for NVIDIA is approximately 3.02%, which can be </w:t>
      </w:r>
      <w:r w:rsidR="00581F03" w:rsidRPr="00581F03">
        <w:rPr>
          <w:rFonts w:ascii="Book Antiqua" w:hAnsi="Book Antiqua"/>
          <w:sz w:val="20"/>
          <w:szCs w:val="20"/>
        </w:rPr>
        <w:t>too</w:t>
      </w:r>
      <w:r w:rsidR="00FA4347" w:rsidRPr="00581F03">
        <w:rPr>
          <w:rFonts w:ascii="Book Antiqua" w:hAnsi="Book Antiqua"/>
          <w:sz w:val="20"/>
          <w:szCs w:val="20"/>
        </w:rPr>
        <w:t xml:space="preserve"> </w:t>
      </w:r>
      <w:r w:rsidR="00581F03" w:rsidRPr="00581F03">
        <w:rPr>
          <w:rFonts w:ascii="Book Antiqua" w:hAnsi="Book Antiqua"/>
          <w:sz w:val="20"/>
          <w:szCs w:val="20"/>
        </w:rPr>
        <w:t>low,</w:t>
      </w:r>
      <w:r w:rsidR="00FA4347" w:rsidRPr="00581F03">
        <w:rPr>
          <w:rFonts w:ascii="Book Antiqua" w:hAnsi="Book Antiqua"/>
          <w:sz w:val="20"/>
          <w:szCs w:val="20"/>
        </w:rPr>
        <w:t xml:space="preserve"> and NVIDIA might want to balance this by issuing more debt.</w:t>
      </w:r>
    </w:p>
    <w:p w14:paraId="58FFCB7A" w14:textId="1A3EF183" w:rsidR="00F34D49" w:rsidRPr="00581F03" w:rsidRDefault="00951C59" w:rsidP="00F34D49">
      <w:pPr>
        <w:pStyle w:val="ListParagraph"/>
        <w:numPr>
          <w:ilvl w:val="0"/>
          <w:numId w:val="10"/>
        </w:numPr>
        <w:rPr>
          <w:rFonts w:ascii="Book Antiqua" w:hAnsi="Book Antiqua"/>
          <w:sz w:val="20"/>
          <w:szCs w:val="20"/>
        </w:rPr>
      </w:pPr>
      <w:r w:rsidRPr="00581F03">
        <w:rPr>
          <w:rFonts w:ascii="Book Antiqua" w:hAnsi="Book Antiqua"/>
          <w:sz w:val="20"/>
          <w:szCs w:val="20"/>
        </w:rPr>
        <w:t xml:space="preserve">To simplify </w:t>
      </w:r>
      <w:r w:rsidR="000B0E80" w:rsidRPr="00581F03">
        <w:rPr>
          <w:rFonts w:ascii="Book Antiqua" w:hAnsi="Book Antiqua"/>
          <w:sz w:val="20"/>
          <w:szCs w:val="20"/>
        </w:rPr>
        <w:t>DCF work and aligns with the theory that DCF should by comprehensive enough for users to realize the true value, but fast enough to not waste time and resources each time investors want to calculate the implied value of a company</w:t>
      </w:r>
      <w:r w:rsidR="00DD124B" w:rsidRPr="00581F03">
        <w:rPr>
          <w:rFonts w:ascii="Book Antiqua" w:hAnsi="Book Antiqua"/>
          <w:sz w:val="20"/>
          <w:szCs w:val="20"/>
        </w:rPr>
        <w:t>.</w:t>
      </w:r>
    </w:p>
    <w:p w14:paraId="0AE71A2C" w14:textId="46CD6944" w:rsidR="00581F03" w:rsidRDefault="007A0EBE" w:rsidP="007A0EBE">
      <w:pPr>
        <w:pStyle w:val="Heading1"/>
        <w:rPr>
          <w:rFonts w:ascii="Book Antiqua" w:hAnsi="Book Antiqua"/>
        </w:rPr>
      </w:pPr>
      <w:r w:rsidRPr="007A0EBE">
        <w:rPr>
          <w:rFonts w:ascii="Book Antiqua" w:hAnsi="Book Antiqua"/>
        </w:rPr>
        <w:t>Discounted Cash Flow</w:t>
      </w:r>
    </w:p>
    <w:p w14:paraId="16A7023A" w14:textId="212CBCE5" w:rsidR="007A0EBE" w:rsidRPr="00A02667" w:rsidRDefault="009377D8" w:rsidP="007A0EBE">
      <w:pPr>
        <w:rPr>
          <w:rFonts w:ascii="Book Antiqua" w:hAnsi="Book Antiqua"/>
          <w:b/>
          <w:bCs/>
          <w:sz w:val="20"/>
          <w:szCs w:val="20"/>
        </w:rPr>
      </w:pPr>
      <w:r w:rsidRPr="00A02667">
        <w:rPr>
          <w:rFonts w:ascii="Book Antiqua" w:hAnsi="Book Antiqua"/>
          <w:b/>
          <w:bCs/>
          <w:sz w:val="20"/>
          <w:szCs w:val="20"/>
        </w:rPr>
        <w:t>Cost of Equity</w:t>
      </w:r>
      <w:r w:rsidR="000444F8" w:rsidRPr="00A02667">
        <w:rPr>
          <w:rFonts w:ascii="Book Antiqua" w:hAnsi="Book Antiqua"/>
          <w:b/>
          <w:bCs/>
          <w:sz w:val="20"/>
          <w:szCs w:val="20"/>
        </w:rPr>
        <w:t>:</w:t>
      </w:r>
    </w:p>
    <w:p w14:paraId="4CC161AA" w14:textId="3F095C3E" w:rsidR="000444F8" w:rsidRDefault="000444F8" w:rsidP="007A0EBE">
      <w:pPr>
        <w:rPr>
          <w:rFonts w:ascii="Book Antiqua" w:hAnsi="Book Antiqua"/>
          <w:sz w:val="20"/>
          <w:szCs w:val="20"/>
        </w:rPr>
      </w:pPr>
      <w:r>
        <w:rPr>
          <w:rFonts w:ascii="Book Antiqua" w:hAnsi="Book Antiqua"/>
          <w:sz w:val="20"/>
          <w:szCs w:val="20"/>
        </w:rPr>
        <w:t xml:space="preserve">I use </w:t>
      </w:r>
      <w:r w:rsidR="00154937">
        <w:rPr>
          <w:rFonts w:ascii="Book Antiqua" w:hAnsi="Book Antiqua"/>
          <w:sz w:val="20"/>
          <w:szCs w:val="20"/>
        </w:rPr>
        <w:t>the Capital</w:t>
      </w:r>
      <w:r>
        <w:rPr>
          <w:rFonts w:ascii="Book Antiqua" w:hAnsi="Book Antiqua"/>
          <w:sz w:val="20"/>
          <w:szCs w:val="20"/>
        </w:rPr>
        <w:t xml:space="preserve"> Asset Pricing Model (CAPM) method to arrive at NVIDIA’s Cost of Equity. </w:t>
      </w:r>
      <w:r w:rsidR="00154937">
        <w:rPr>
          <w:rFonts w:ascii="Book Antiqua" w:hAnsi="Book Antiqua"/>
          <w:sz w:val="20"/>
          <w:szCs w:val="20"/>
        </w:rPr>
        <w:t xml:space="preserve">All data in blue (hardcoded) is derived from </w:t>
      </w:r>
      <w:r w:rsidR="001D133B">
        <w:rPr>
          <w:rFonts w:ascii="Book Antiqua" w:hAnsi="Book Antiqua"/>
          <w:sz w:val="20"/>
          <w:szCs w:val="20"/>
        </w:rPr>
        <w:t>Yahoo Finance, accessed Nov 18, 2024.</w:t>
      </w:r>
      <w:r w:rsidR="0060506E">
        <w:rPr>
          <w:rFonts w:ascii="Book Antiqua" w:hAnsi="Book Antiqua"/>
          <w:sz w:val="20"/>
          <w:szCs w:val="20"/>
        </w:rPr>
        <w:t xml:space="preserve"> The resulting Cost of Equity aligns well with similar companies in Microchip Industry (AMD, Intel, Qualcomm, etc.)</w:t>
      </w:r>
    </w:p>
    <w:p w14:paraId="4967B90B" w14:textId="63A3D5F9" w:rsidR="008E3EDD" w:rsidRPr="00A02667" w:rsidRDefault="008E3EDD" w:rsidP="007A0EBE">
      <w:pPr>
        <w:rPr>
          <w:rFonts w:ascii="Book Antiqua" w:hAnsi="Book Antiqua"/>
          <w:b/>
          <w:bCs/>
          <w:sz w:val="20"/>
          <w:szCs w:val="20"/>
        </w:rPr>
      </w:pPr>
      <w:r w:rsidRPr="00A02667">
        <w:rPr>
          <w:rFonts w:ascii="Book Antiqua" w:hAnsi="Book Antiqua"/>
          <w:b/>
          <w:bCs/>
          <w:sz w:val="20"/>
          <w:szCs w:val="20"/>
        </w:rPr>
        <w:t>Cost of Debt:</w:t>
      </w:r>
    </w:p>
    <w:p w14:paraId="0B567E6E" w14:textId="2E168286" w:rsidR="008E3EDD" w:rsidRDefault="00A02667" w:rsidP="007A0EBE">
      <w:pPr>
        <w:rPr>
          <w:rFonts w:ascii="Book Antiqua" w:hAnsi="Book Antiqua"/>
          <w:sz w:val="20"/>
          <w:szCs w:val="20"/>
        </w:rPr>
      </w:pPr>
      <w:r>
        <w:rPr>
          <w:rFonts w:ascii="Book Antiqua" w:hAnsi="Book Antiqua"/>
          <w:sz w:val="20"/>
          <w:szCs w:val="20"/>
        </w:rPr>
        <w:t xml:space="preserve">Pre-tax cost of debt is derived from </w:t>
      </w:r>
      <w:hyperlink r:id="rId8" w:history="1">
        <w:r w:rsidRPr="00A02667">
          <w:rPr>
            <w:rStyle w:val="Hyperlink"/>
            <w:rFonts w:ascii="Book Antiqua" w:hAnsi="Book Antiqua"/>
            <w:sz w:val="20"/>
            <w:szCs w:val="20"/>
          </w:rPr>
          <w:t>Market Watch</w:t>
        </w:r>
      </w:hyperlink>
    </w:p>
    <w:p w14:paraId="20657DCA" w14:textId="3B819DFD" w:rsidR="00A02667" w:rsidRDefault="00A02667" w:rsidP="007A0EBE">
      <w:pPr>
        <w:rPr>
          <w:rFonts w:ascii="Book Antiqua" w:hAnsi="Book Antiqua"/>
          <w:b/>
          <w:bCs/>
          <w:sz w:val="20"/>
          <w:szCs w:val="20"/>
        </w:rPr>
      </w:pPr>
      <w:r w:rsidRPr="00A02667">
        <w:rPr>
          <w:rFonts w:ascii="Book Antiqua" w:hAnsi="Book Antiqua"/>
          <w:b/>
          <w:bCs/>
          <w:sz w:val="20"/>
          <w:szCs w:val="20"/>
        </w:rPr>
        <w:t>Weighted Average Cost of Capital</w:t>
      </w:r>
      <w:r w:rsidR="00926ABB">
        <w:rPr>
          <w:rFonts w:ascii="Book Antiqua" w:hAnsi="Book Antiqua"/>
          <w:b/>
          <w:bCs/>
          <w:sz w:val="20"/>
          <w:szCs w:val="20"/>
        </w:rPr>
        <w:t xml:space="preserve"> (WACC):</w:t>
      </w:r>
    </w:p>
    <w:p w14:paraId="2CE7BF06" w14:textId="514E39EC" w:rsidR="00A02667" w:rsidRDefault="00C63567" w:rsidP="007A0EBE">
      <w:pPr>
        <w:rPr>
          <w:rFonts w:ascii="Book Antiqua" w:hAnsi="Book Antiqua"/>
          <w:sz w:val="20"/>
          <w:szCs w:val="20"/>
        </w:rPr>
      </w:pPr>
      <w:r>
        <w:rPr>
          <w:rFonts w:ascii="Book Antiqua" w:hAnsi="Book Antiqua"/>
          <w:sz w:val="20"/>
          <w:szCs w:val="20"/>
        </w:rPr>
        <w:t>I first calculated the Total Debt to Total Capitalization, which represents to weight of debt.</w:t>
      </w:r>
      <w:r w:rsidR="00FE295E">
        <w:rPr>
          <w:rFonts w:ascii="Book Antiqua" w:hAnsi="Book Antiqua"/>
          <w:sz w:val="20"/>
          <w:szCs w:val="20"/>
        </w:rPr>
        <w:t xml:space="preserve"> The weight of equity is calculated by (1 – weight of debt</w:t>
      </w:r>
      <w:r w:rsidR="00EE4547">
        <w:rPr>
          <w:rFonts w:ascii="Book Antiqua" w:hAnsi="Book Antiqua"/>
          <w:sz w:val="20"/>
          <w:szCs w:val="20"/>
        </w:rPr>
        <w:t>).</w:t>
      </w:r>
    </w:p>
    <w:p w14:paraId="44F3EB2C" w14:textId="0379A247" w:rsidR="00EE4547" w:rsidRDefault="00EE4547" w:rsidP="007A0EBE">
      <w:pPr>
        <w:rPr>
          <w:rFonts w:ascii="Book Antiqua" w:hAnsi="Book Antiqua"/>
          <w:sz w:val="20"/>
          <w:szCs w:val="20"/>
        </w:rPr>
      </w:pPr>
      <w:r>
        <w:rPr>
          <w:rFonts w:ascii="Book Antiqua" w:hAnsi="Book Antiqua"/>
          <w:sz w:val="20"/>
          <w:szCs w:val="20"/>
        </w:rPr>
        <w:t>WACC Formula: WACC = w(d) * Cost of Debt + w(e) * Cost of Equity</w:t>
      </w:r>
    </w:p>
    <w:p w14:paraId="34102ED5" w14:textId="2D6E805A" w:rsidR="00926ABB" w:rsidRDefault="00926ABB" w:rsidP="00926ABB">
      <w:pPr>
        <w:pStyle w:val="ListParagraph"/>
        <w:numPr>
          <w:ilvl w:val="0"/>
          <w:numId w:val="11"/>
        </w:numPr>
        <w:rPr>
          <w:rFonts w:ascii="Book Antiqua" w:hAnsi="Book Antiqua"/>
          <w:sz w:val="20"/>
          <w:szCs w:val="20"/>
        </w:rPr>
      </w:pPr>
      <w:r>
        <w:rPr>
          <w:rFonts w:ascii="Book Antiqua" w:hAnsi="Book Antiqua"/>
          <w:sz w:val="20"/>
          <w:szCs w:val="20"/>
        </w:rPr>
        <w:t>W(d): weight of debt</w:t>
      </w:r>
    </w:p>
    <w:p w14:paraId="1CFB3478" w14:textId="48FDC134" w:rsidR="00926ABB" w:rsidRDefault="00926ABB" w:rsidP="00926ABB">
      <w:pPr>
        <w:pStyle w:val="ListParagraph"/>
        <w:numPr>
          <w:ilvl w:val="0"/>
          <w:numId w:val="11"/>
        </w:numPr>
        <w:rPr>
          <w:rFonts w:ascii="Book Antiqua" w:hAnsi="Book Antiqua"/>
          <w:sz w:val="20"/>
          <w:szCs w:val="20"/>
        </w:rPr>
      </w:pPr>
      <w:r>
        <w:rPr>
          <w:rFonts w:ascii="Book Antiqua" w:hAnsi="Book Antiqua"/>
          <w:sz w:val="20"/>
          <w:szCs w:val="20"/>
        </w:rPr>
        <w:t>W(e): weight of equity</w:t>
      </w:r>
    </w:p>
    <w:p w14:paraId="187EC432" w14:textId="1442A9BA" w:rsidR="00850A0F" w:rsidRPr="000A77D8" w:rsidRDefault="00850A0F" w:rsidP="00850A0F">
      <w:pPr>
        <w:rPr>
          <w:rFonts w:ascii="Book Antiqua" w:hAnsi="Book Antiqua"/>
          <w:b/>
          <w:bCs/>
          <w:sz w:val="20"/>
          <w:szCs w:val="20"/>
        </w:rPr>
      </w:pPr>
      <w:r w:rsidRPr="000A77D8">
        <w:rPr>
          <w:rFonts w:ascii="Book Antiqua" w:hAnsi="Book Antiqua"/>
          <w:b/>
          <w:bCs/>
          <w:sz w:val="20"/>
          <w:szCs w:val="20"/>
        </w:rPr>
        <w:lastRenderedPageBreak/>
        <w:t>Exit Multiple</w:t>
      </w:r>
      <w:r w:rsidR="00BA2737" w:rsidRPr="000A77D8">
        <w:rPr>
          <w:rFonts w:ascii="Book Antiqua" w:hAnsi="Book Antiqua"/>
          <w:b/>
          <w:bCs/>
          <w:sz w:val="20"/>
          <w:szCs w:val="20"/>
        </w:rPr>
        <w:t xml:space="preserve"> Method:</w:t>
      </w:r>
    </w:p>
    <w:p w14:paraId="01448CB0" w14:textId="3E22E649" w:rsidR="00850A0F" w:rsidRDefault="00850A0F" w:rsidP="00850A0F">
      <w:pPr>
        <w:rPr>
          <w:rFonts w:ascii="Book Antiqua" w:hAnsi="Book Antiqua"/>
          <w:sz w:val="20"/>
          <w:szCs w:val="20"/>
        </w:rPr>
      </w:pPr>
      <w:r>
        <w:rPr>
          <w:rFonts w:ascii="Book Antiqua" w:hAnsi="Book Antiqua"/>
          <w:sz w:val="20"/>
          <w:szCs w:val="20"/>
        </w:rPr>
        <w:t xml:space="preserve">The common exit multiple for </w:t>
      </w:r>
      <w:r w:rsidR="00007985">
        <w:rPr>
          <w:rFonts w:ascii="Book Antiqua" w:hAnsi="Book Antiqua"/>
          <w:sz w:val="20"/>
          <w:szCs w:val="20"/>
        </w:rPr>
        <w:t xml:space="preserve">tech companies ranges from </w:t>
      </w:r>
      <w:proofErr w:type="spellStart"/>
      <w:r w:rsidR="00007985">
        <w:rPr>
          <w:rFonts w:ascii="Book Antiqua" w:hAnsi="Book Antiqua"/>
          <w:sz w:val="20"/>
          <w:szCs w:val="20"/>
        </w:rPr>
        <w:t>10x</w:t>
      </w:r>
      <w:proofErr w:type="spellEnd"/>
      <w:r w:rsidR="00007985">
        <w:rPr>
          <w:rFonts w:ascii="Book Antiqua" w:hAnsi="Book Antiqua"/>
          <w:sz w:val="20"/>
          <w:szCs w:val="20"/>
        </w:rPr>
        <w:t xml:space="preserve"> to </w:t>
      </w:r>
      <w:proofErr w:type="spellStart"/>
      <w:r w:rsidR="00007985">
        <w:rPr>
          <w:rFonts w:ascii="Book Antiqua" w:hAnsi="Book Antiqua"/>
          <w:sz w:val="20"/>
          <w:szCs w:val="20"/>
        </w:rPr>
        <w:t>15x</w:t>
      </w:r>
      <w:proofErr w:type="spellEnd"/>
      <w:r w:rsidR="00007985">
        <w:rPr>
          <w:rFonts w:ascii="Book Antiqua" w:hAnsi="Book Antiqua"/>
          <w:sz w:val="20"/>
          <w:szCs w:val="20"/>
        </w:rPr>
        <w:t xml:space="preserve">. I simply take the average of this, which gives me an exit multiple of </w:t>
      </w:r>
      <w:proofErr w:type="spellStart"/>
      <w:r w:rsidR="00007985">
        <w:rPr>
          <w:rFonts w:ascii="Book Antiqua" w:hAnsi="Book Antiqua"/>
          <w:sz w:val="20"/>
          <w:szCs w:val="20"/>
        </w:rPr>
        <w:t>12.5x</w:t>
      </w:r>
      <w:proofErr w:type="spellEnd"/>
      <w:r w:rsidR="00007985">
        <w:rPr>
          <w:rFonts w:ascii="Book Antiqua" w:hAnsi="Book Antiqua"/>
          <w:sz w:val="20"/>
          <w:szCs w:val="20"/>
        </w:rPr>
        <w:t>.</w:t>
      </w:r>
    </w:p>
    <w:p w14:paraId="4787649E" w14:textId="120145B5" w:rsidR="00007985" w:rsidRPr="000A77D8" w:rsidRDefault="00BA2737" w:rsidP="00850A0F">
      <w:pPr>
        <w:rPr>
          <w:rFonts w:ascii="Book Antiqua" w:hAnsi="Book Antiqua"/>
          <w:b/>
          <w:bCs/>
          <w:sz w:val="20"/>
          <w:szCs w:val="20"/>
        </w:rPr>
      </w:pPr>
      <w:r w:rsidRPr="000A77D8">
        <w:rPr>
          <w:rFonts w:ascii="Book Antiqua" w:hAnsi="Book Antiqua"/>
          <w:b/>
          <w:bCs/>
          <w:sz w:val="20"/>
          <w:szCs w:val="20"/>
        </w:rPr>
        <w:t>Perpetuity Growth Method:</w:t>
      </w:r>
    </w:p>
    <w:p w14:paraId="70621682" w14:textId="1C3C789F" w:rsidR="00BA2737" w:rsidRDefault="000A77D8" w:rsidP="00850A0F">
      <w:pPr>
        <w:rPr>
          <w:rFonts w:ascii="Book Antiqua" w:hAnsi="Book Antiqua"/>
          <w:sz w:val="20"/>
          <w:szCs w:val="20"/>
        </w:rPr>
      </w:pPr>
      <w:r>
        <w:rPr>
          <w:rFonts w:ascii="Book Antiqua" w:hAnsi="Book Antiqua"/>
          <w:sz w:val="20"/>
          <w:szCs w:val="20"/>
        </w:rPr>
        <w:t xml:space="preserve">Reasoning behind </w:t>
      </w:r>
      <w:r w:rsidR="00BA2737">
        <w:rPr>
          <w:rFonts w:ascii="Book Antiqua" w:hAnsi="Book Antiqua"/>
          <w:sz w:val="20"/>
          <w:szCs w:val="20"/>
        </w:rPr>
        <w:t>cho</w:t>
      </w:r>
      <w:r>
        <w:rPr>
          <w:rFonts w:ascii="Book Antiqua" w:hAnsi="Book Antiqua"/>
          <w:sz w:val="20"/>
          <w:szCs w:val="20"/>
        </w:rPr>
        <w:t>osing</w:t>
      </w:r>
      <w:r w:rsidR="00BA2737">
        <w:rPr>
          <w:rFonts w:ascii="Book Antiqua" w:hAnsi="Book Antiqua"/>
          <w:sz w:val="20"/>
          <w:szCs w:val="20"/>
        </w:rPr>
        <w:t xml:space="preserve"> 2.5% as the terminal growth rate</w:t>
      </w:r>
      <w:r>
        <w:rPr>
          <w:rFonts w:ascii="Book Antiqua" w:hAnsi="Book Antiqua"/>
          <w:sz w:val="20"/>
          <w:szCs w:val="20"/>
        </w:rPr>
        <w:t>:</w:t>
      </w:r>
    </w:p>
    <w:p w14:paraId="3E9934C0" w14:textId="128EFE02" w:rsidR="000A77D8" w:rsidRDefault="003D6FC9" w:rsidP="000A77D8">
      <w:pPr>
        <w:pStyle w:val="ListParagraph"/>
        <w:numPr>
          <w:ilvl w:val="0"/>
          <w:numId w:val="12"/>
        </w:numPr>
        <w:rPr>
          <w:rFonts w:ascii="Book Antiqua" w:hAnsi="Book Antiqua"/>
          <w:sz w:val="20"/>
          <w:szCs w:val="20"/>
        </w:rPr>
      </w:pPr>
      <w:r>
        <w:rPr>
          <w:rFonts w:ascii="Book Antiqua" w:hAnsi="Book Antiqua"/>
          <w:sz w:val="20"/>
          <w:szCs w:val="20"/>
        </w:rPr>
        <w:t>Historically,</w:t>
      </w:r>
      <w:r w:rsidR="006C5BBA">
        <w:rPr>
          <w:rFonts w:ascii="Book Antiqua" w:hAnsi="Book Antiqua"/>
          <w:sz w:val="20"/>
          <w:szCs w:val="20"/>
        </w:rPr>
        <w:t xml:space="preserve"> Global</w:t>
      </w:r>
      <w:r>
        <w:rPr>
          <w:rFonts w:ascii="Book Antiqua" w:hAnsi="Book Antiqua"/>
          <w:sz w:val="20"/>
          <w:szCs w:val="20"/>
        </w:rPr>
        <w:t xml:space="preserve"> GDP Growth Rate has been around 2% to 3%</w:t>
      </w:r>
      <w:r w:rsidR="006C5BBA">
        <w:rPr>
          <w:rFonts w:ascii="Book Antiqua" w:hAnsi="Book Antiqua"/>
          <w:sz w:val="20"/>
          <w:szCs w:val="20"/>
        </w:rPr>
        <w:t>. Choosing 2.5% aligns with the broader economy.</w:t>
      </w:r>
    </w:p>
    <w:p w14:paraId="05C06A40" w14:textId="1ECB6481" w:rsidR="006C5BBA" w:rsidRDefault="002527CE" w:rsidP="000A77D8">
      <w:pPr>
        <w:pStyle w:val="ListParagraph"/>
        <w:numPr>
          <w:ilvl w:val="0"/>
          <w:numId w:val="12"/>
        </w:numPr>
        <w:rPr>
          <w:rFonts w:ascii="Book Antiqua" w:hAnsi="Book Antiqua"/>
          <w:sz w:val="20"/>
          <w:szCs w:val="20"/>
        </w:rPr>
      </w:pPr>
      <w:r>
        <w:rPr>
          <w:rFonts w:ascii="Book Antiqua" w:hAnsi="Book Antiqua"/>
          <w:sz w:val="20"/>
          <w:szCs w:val="20"/>
        </w:rPr>
        <w:t xml:space="preserve">Consistent with financial modeling standards. Experts advise </w:t>
      </w:r>
      <w:r w:rsidR="00511F32">
        <w:rPr>
          <w:rFonts w:ascii="Book Antiqua" w:hAnsi="Book Antiqua"/>
          <w:sz w:val="20"/>
          <w:szCs w:val="20"/>
        </w:rPr>
        <w:t>using</w:t>
      </w:r>
      <w:r>
        <w:rPr>
          <w:rFonts w:ascii="Book Antiqua" w:hAnsi="Book Antiqua"/>
          <w:sz w:val="20"/>
          <w:szCs w:val="20"/>
        </w:rPr>
        <w:t xml:space="preserve"> a terminal growth rate the does not exceed</w:t>
      </w:r>
      <w:r w:rsidR="00511F32">
        <w:rPr>
          <w:rFonts w:ascii="Book Antiqua" w:hAnsi="Book Antiqua"/>
          <w:sz w:val="20"/>
          <w:szCs w:val="20"/>
        </w:rPr>
        <w:t xml:space="preserve"> the long-term GDP growth rate.</w:t>
      </w:r>
    </w:p>
    <w:p w14:paraId="64DDC0E4" w14:textId="5F53FE14" w:rsidR="00511F32" w:rsidRPr="000A77D8" w:rsidRDefault="00922896" w:rsidP="000A77D8">
      <w:pPr>
        <w:pStyle w:val="ListParagraph"/>
        <w:numPr>
          <w:ilvl w:val="0"/>
          <w:numId w:val="12"/>
        </w:numPr>
        <w:rPr>
          <w:rFonts w:ascii="Book Antiqua" w:hAnsi="Book Antiqua"/>
          <w:sz w:val="20"/>
          <w:szCs w:val="20"/>
        </w:rPr>
      </w:pPr>
      <w:r>
        <w:rPr>
          <w:rFonts w:ascii="Book Antiqua" w:hAnsi="Book Antiqua"/>
          <w:sz w:val="20"/>
          <w:szCs w:val="20"/>
        </w:rPr>
        <w:t>This also accounts for overestimation or underestimation for NVIDIA</w:t>
      </w:r>
      <w:r w:rsidR="000C7ADC">
        <w:rPr>
          <w:rFonts w:ascii="Book Antiqua" w:hAnsi="Book Antiqua"/>
          <w:sz w:val="20"/>
          <w:szCs w:val="20"/>
        </w:rPr>
        <w:t>, which is</w:t>
      </w:r>
      <w:r>
        <w:rPr>
          <w:rFonts w:ascii="Book Antiqua" w:hAnsi="Book Antiqua"/>
          <w:sz w:val="20"/>
          <w:szCs w:val="20"/>
        </w:rPr>
        <w:t xml:space="preserve"> a promising technology company</w:t>
      </w:r>
      <w:r w:rsidR="000C7ADC">
        <w:rPr>
          <w:rFonts w:ascii="Book Antiqua" w:hAnsi="Book Antiqua"/>
          <w:sz w:val="20"/>
          <w:szCs w:val="20"/>
        </w:rPr>
        <w:t>, but also accounting for unforeseen challenges.</w:t>
      </w:r>
    </w:p>
    <w:sectPr w:rsidR="00511F32" w:rsidRPr="000A77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60DF2" w14:textId="77777777" w:rsidR="00386614" w:rsidRDefault="00386614" w:rsidP="00FD6300">
      <w:pPr>
        <w:spacing w:after="0" w:line="240" w:lineRule="auto"/>
      </w:pPr>
      <w:r>
        <w:separator/>
      </w:r>
    </w:p>
  </w:endnote>
  <w:endnote w:type="continuationSeparator" w:id="0">
    <w:p w14:paraId="3217FF68" w14:textId="77777777" w:rsidR="00386614" w:rsidRDefault="00386614" w:rsidP="00FD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50E74" w14:textId="77777777" w:rsidR="00386614" w:rsidRDefault="00386614" w:rsidP="00FD6300">
      <w:pPr>
        <w:spacing w:after="0" w:line="240" w:lineRule="auto"/>
      </w:pPr>
      <w:r>
        <w:separator/>
      </w:r>
    </w:p>
  </w:footnote>
  <w:footnote w:type="continuationSeparator" w:id="0">
    <w:p w14:paraId="2859C72A" w14:textId="77777777" w:rsidR="00386614" w:rsidRDefault="00386614" w:rsidP="00FD6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CE833" w14:textId="2181869C" w:rsidR="001612C9" w:rsidRPr="009A3385" w:rsidRDefault="00FD6300" w:rsidP="002D64A7">
    <w:pPr>
      <w:pStyle w:val="Title"/>
      <w:rPr>
        <w:rFonts w:ascii="Book Antiqua" w:hAnsi="Book Antiqua"/>
        <w:sz w:val="44"/>
        <w:szCs w:val="44"/>
      </w:rPr>
    </w:pPr>
    <w:r w:rsidRPr="009A3385">
      <w:rPr>
        <w:rFonts w:ascii="Book Antiqua" w:hAnsi="Book Antiqua"/>
        <w:sz w:val="44"/>
        <w:szCs w:val="44"/>
      </w:rPr>
      <w:t>NVIDIA Discounted Cash Flow</w:t>
    </w:r>
    <w:r w:rsidR="001612C9" w:rsidRPr="009A3385">
      <w:rPr>
        <w:rFonts w:ascii="Book Antiqua" w:hAnsi="Book Antiqua"/>
        <w:sz w:val="44"/>
        <w:szCs w:val="44"/>
      </w:rPr>
      <w:t xml:space="preserve"> Model </w:t>
    </w:r>
    <w:r w:rsidR="009A3385" w:rsidRPr="009A3385">
      <w:rPr>
        <w:rFonts w:ascii="Book Antiqua" w:hAnsi="Book Antiqua"/>
        <w:sz w:val="44"/>
        <w:szCs w:val="44"/>
      </w:rPr>
      <w:t>Reasoning</w:t>
    </w:r>
  </w:p>
  <w:p w14:paraId="2A209D86" w14:textId="77777777" w:rsidR="00B23D58" w:rsidRPr="002D64A7" w:rsidRDefault="00B23D58">
    <w:pPr>
      <w:pStyle w:val="Header"/>
      <w:rPr>
        <w:rFonts w:ascii="Book Antiqua" w:hAnsi="Book Antiqua"/>
      </w:rPr>
    </w:pPr>
  </w:p>
  <w:p w14:paraId="5C35C01A" w14:textId="19E6B839" w:rsidR="00FD6300" w:rsidRPr="00ED72BA" w:rsidRDefault="00FD6300">
    <w:pPr>
      <w:pStyle w:val="Header"/>
      <w:rPr>
        <w:rFonts w:ascii="Book Antiqua" w:hAnsi="Book Antiqua"/>
        <w:sz w:val="20"/>
        <w:szCs w:val="20"/>
      </w:rPr>
    </w:pPr>
    <w:r w:rsidRPr="00ED72BA">
      <w:rPr>
        <w:rFonts w:ascii="Book Antiqua" w:hAnsi="Book Antiqua"/>
        <w:sz w:val="20"/>
        <w:szCs w:val="20"/>
      </w:rPr>
      <w:t>Xuan Duy Le</w:t>
    </w:r>
  </w:p>
  <w:p w14:paraId="47AF6DE9" w14:textId="1E5E5FE0" w:rsidR="00AC2EAC" w:rsidRDefault="00FD6300">
    <w:pPr>
      <w:pStyle w:val="Header"/>
      <w:rPr>
        <w:rFonts w:ascii="Book Antiqua" w:hAnsi="Book Antiqua"/>
        <w:sz w:val="20"/>
        <w:szCs w:val="20"/>
      </w:rPr>
    </w:pPr>
    <w:r w:rsidRPr="00ED72BA">
      <w:rPr>
        <w:rFonts w:ascii="Book Antiqua" w:hAnsi="Book Antiqua"/>
        <w:sz w:val="20"/>
        <w:szCs w:val="20"/>
      </w:rPr>
      <w:t>1</w:t>
    </w:r>
    <w:r w:rsidR="009A3385">
      <w:rPr>
        <w:rFonts w:ascii="Book Antiqua" w:hAnsi="Book Antiqua"/>
        <w:sz w:val="20"/>
        <w:szCs w:val="20"/>
      </w:rPr>
      <w:t>1</w:t>
    </w:r>
    <w:r w:rsidRPr="00ED72BA">
      <w:rPr>
        <w:rFonts w:ascii="Book Antiqua" w:hAnsi="Book Antiqua"/>
        <w:sz w:val="20"/>
        <w:szCs w:val="20"/>
      </w:rPr>
      <w:t>/2</w:t>
    </w:r>
    <w:r w:rsidR="009A3385">
      <w:rPr>
        <w:rFonts w:ascii="Book Antiqua" w:hAnsi="Book Antiqua"/>
        <w:sz w:val="20"/>
        <w:szCs w:val="20"/>
      </w:rPr>
      <w:t>7</w:t>
    </w:r>
    <w:r w:rsidRPr="00ED72BA">
      <w:rPr>
        <w:rFonts w:ascii="Book Antiqua" w:hAnsi="Book Antiqua"/>
        <w:sz w:val="20"/>
        <w:szCs w:val="20"/>
      </w:rPr>
      <w:t>/2024</w:t>
    </w:r>
  </w:p>
  <w:p w14:paraId="345F31D8" w14:textId="77777777" w:rsidR="00AC2EAC" w:rsidRPr="00ED72BA" w:rsidRDefault="00AC2EAC">
    <w:pPr>
      <w:pStyle w:val="Header"/>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260E"/>
    <w:multiLevelType w:val="hybridMultilevel"/>
    <w:tmpl w:val="1D30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A3592"/>
    <w:multiLevelType w:val="hybridMultilevel"/>
    <w:tmpl w:val="CBE8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F10DA"/>
    <w:multiLevelType w:val="hybridMultilevel"/>
    <w:tmpl w:val="1CE4C3B8"/>
    <w:lvl w:ilvl="0" w:tplc="9080F492">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68D0"/>
    <w:multiLevelType w:val="multilevel"/>
    <w:tmpl w:val="858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1DED"/>
    <w:multiLevelType w:val="multilevel"/>
    <w:tmpl w:val="7A7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20F97"/>
    <w:multiLevelType w:val="hybridMultilevel"/>
    <w:tmpl w:val="AEC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6CB0"/>
    <w:multiLevelType w:val="multilevel"/>
    <w:tmpl w:val="D6A4F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86A18"/>
    <w:multiLevelType w:val="hybridMultilevel"/>
    <w:tmpl w:val="B9BA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71EF2"/>
    <w:multiLevelType w:val="multilevel"/>
    <w:tmpl w:val="A1A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25F73"/>
    <w:multiLevelType w:val="hybridMultilevel"/>
    <w:tmpl w:val="5ACC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51816"/>
    <w:multiLevelType w:val="multilevel"/>
    <w:tmpl w:val="7C262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72385"/>
    <w:multiLevelType w:val="multilevel"/>
    <w:tmpl w:val="B7283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981770">
    <w:abstractNumId w:val="1"/>
  </w:num>
  <w:num w:numId="2" w16cid:durableId="897208253">
    <w:abstractNumId w:val="2"/>
  </w:num>
  <w:num w:numId="3" w16cid:durableId="1879245858">
    <w:abstractNumId w:val="9"/>
  </w:num>
  <w:num w:numId="4" w16cid:durableId="1524779815">
    <w:abstractNumId w:val="11"/>
  </w:num>
  <w:num w:numId="5" w16cid:durableId="824972710">
    <w:abstractNumId w:val="10"/>
  </w:num>
  <w:num w:numId="6" w16cid:durableId="1065302860">
    <w:abstractNumId w:val="6"/>
  </w:num>
  <w:num w:numId="7" w16cid:durableId="354041977">
    <w:abstractNumId w:val="3"/>
  </w:num>
  <w:num w:numId="8" w16cid:durableId="306906166">
    <w:abstractNumId w:val="4"/>
  </w:num>
  <w:num w:numId="9" w16cid:durableId="150367371">
    <w:abstractNumId w:val="8"/>
  </w:num>
  <w:num w:numId="10" w16cid:durableId="395511695">
    <w:abstractNumId w:val="7"/>
  </w:num>
  <w:num w:numId="11" w16cid:durableId="822280335">
    <w:abstractNumId w:val="5"/>
  </w:num>
  <w:num w:numId="12" w16cid:durableId="141173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04"/>
    <w:rsid w:val="00007985"/>
    <w:rsid w:val="00022351"/>
    <w:rsid w:val="00025615"/>
    <w:rsid w:val="000277C3"/>
    <w:rsid w:val="000444F8"/>
    <w:rsid w:val="000469FE"/>
    <w:rsid w:val="00081D15"/>
    <w:rsid w:val="00085542"/>
    <w:rsid w:val="00087C30"/>
    <w:rsid w:val="0009376E"/>
    <w:rsid w:val="000A77D8"/>
    <w:rsid w:val="000B0E80"/>
    <w:rsid w:val="000B4960"/>
    <w:rsid w:val="000C7ADC"/>
    <w:rsid w:val="000E4E86"/>
    <w:rsid w:val="000E5192"/>
    <w:rsid w:val="00103DDC"/>
    <w:rsid w:val="001277D6"/>
    <w:rsid w:val="00131322"/>
    <w:rsid w:val="00154937"/>
    <w:rsid w:val="001612C9"/>
    <w:rsid w:val="001A128E"/>
    <w:rsid w:val="001A2BF9"/>
    <w:rsid w:val="001D133B"/>
    <w:rsid w:val="002017E0"/>
    <w:rsid w:val="00206143"/>
    <w:rsid w:val="00206B04"/>
    <w:rsid w:val="00217EA4"/>
    <w:rsid w:val="002274E1"/>
    <w:rsid w:val="00242637"/>
    <w:rsid w:val="002527CE"/>
    <w:rsid w:val="00266D87"/>
    <w:rsid w:val="002715A6"/>
    <w:rsid w:val="002B2687"/>
    <w:rsid w:val="002B561C"/>
    <w:rsid w:val="002D64A7"/>
    <w:rsid w:val="0030622C"/>
    <w:rsid w:val="0031307C"/>
    <w:rsid w:val="003261E0"/>
    <w:rsid w:val="00330A54"/>
    <w:rsid w:val="00344078"/>
    <w:rsid w:val="003470AD"/>
    <w:rsid w:val="00355F6C"/>
    <w:rsid w:val="00357653"/>
    <w:rsid w:val="003832D7"/>
    <w:rsid w:val="00386614"/>
    <w:rsid w:val="00392A1A"/>
    <w:rsid w:val="003942C3"/>
    <w:rsid w:val="003D6FC9"/>
    <w:rsid w:val="00484BBB"/>
    <w:rsid w:val="004C1546"/>
    <w:rsid w:val="004E5D9B"/>
    <w:rsid w:val="004F26B0"/>
    <w:rsid w:val="00511F32"/>
    <w:rsid w:val="00556440"/>
    <w:rsid w:val="00581F03"/>
    <w:rsid w:val="00587B01"/>
    <w:rsid w:val="005A3977"/>
    <w:rsid w:val="005B6A94"/>
    <w:rsid w:val="005D4D4F"/>
    <w:rsid w:val="005F066E"/>
    <w:rsid w:val="00600334"/>
    <w:rsid w:val="0060233F"/>
    <w:rsid w:val="0060506E"/>
    <w:rsid w:val="00694A69"/>
    <w:rsid w:val="00697371"/>
    <w:rsid w:val="006A407F"/>
    <w:rsid w:val="006B7243"/>
    <w:rsid w:val="006C5BBA"/>
    <w:rsid w:val="00721F52"/>
    <w:rsid w:val="00751AA6"/>
    <w:rsid w:val="0079532E"/>
    <w:rsid w:val="0079695E"/>
    <w:rsid w:val="007A0EBE"/>
    <w:rsid w:val="007A51B2"/>
    <w:rsid w:val="007B30F2"/>
    <w:rsid w:val="007E0AB6"/>
    <w:rsid w:val="007E2123"/>
    <w:rsid w:val="007E2223"/>
    <w:rsid w:val="007E5253"/>
    <w:rsid w:val="008266EB"/>
    <w:rsid w:val="00843970"/>
    <w:rsid w:val="00850A0F"/>
    <w:rsid w:val="00870716"/>
    <w:rsid w:val="00877426"/>
    <w:rsid w:val="008E164D"/>
    <w:rsid w:val="008E3EDD"/>
    <w:rsid w:val="008E5F84"/>
    <w:rsid w:val="00922896"/>
    <w:rsid w:val="00926ABB"/>
    <w:rsid w:val="009377D8"/>
    <w:rsid w:val="00940567"/>
    <w:rsid w:val="00943CD7"/>
    <w:rsid w:val="00951C59"/>
    <w:rsid w:val="00983D7A"/>
    <w:rsid w:val="009A2B28"/>
    <w:rsid w:val="009A3385"/>
    <w:rsid w:val="009A4404"/>
    <w:rsid w:val="009A7046"/>
    <w:rsid w:val="009F4215"/>
    <w:rsid w:val="00A02667"/>
    <w:rsid w:val="00A026AA"/>
    <w:rsid w:val="00A428E2"/>
    <w:rsid w:val="00A87B0D"/>
    <w:rsid w:val="00A915CE"/>
    <w:rsid w:val="00AC2EAC"/>
    <w:rsid w:val="00AC7A16"/>
    <w:rsid w:val="00AC7CA2"/>
    <w:rsid w:val="00AE53EC"/>
    <w:rsid w:val="00B12EDD"/>
    <w:rsid w:val="00B23D58"/>
    <w:rsid w:val="00B26A82"/>
    <w:rsid w:val="00B73FED"/>
    <w:rsid w:val="00BA2737"/>
    <w:rsid w:val="00BB2E47"/>
    <w:rsid w:val="00BB5CFF"/>
    <w:rsid w:val="00C102D3"/>
    <w:rsid w:val="00C41822"/>
    <w:rsid w:val="00C6258C"/>
    <w:rsid w:val="00C63567"/>
    <w:rsid w:val="00CA6C95"/>
    <w:rsid w:val="00CC16ED"/>
    <w:rsid w:val="00CC55B6"/>
    <w:rsid w:val="00D203D8"/>
    <w:rsid w:val="00D26288"/>
    <w:rsid w:val="00D62FEF"/>
    <w:rsid w:val="00D82741"/>
    <w:rsid w:val="00DA2427"/>
    <w:rsid w:val="00DC21AC"/>
    <w:rsid w:val="00DD01DF"/>
    <w:rsid w:val="00DD124B"/>
    <w:rsid w:val="00DD198F"/>
    <w:rsid w:val="00DD3815"/>
    <w:rsid w:val="00E414FD"/>
    <w:rsid w:val="00E41C76"/>
    <w:rsid w:val="00E42C09"/>
    <w:rsid w:val="00E65AA0"/>
    <w:rsid w:val="00EC2570"/>
    <w:rsid w:val="00EC391B"/>
    <w:rsid w:val="00EC5077"/>
    <w:rsid w:val="00ED0805"/>
    <w:rsid w:val="00ED68F1"/>
    <w:rsid w:val="00ED72BA"/>
    <w:rsid w:val="00EE4547"/>
    <w:rsid w:val="00EF3F0C"/>
    <w:rsid w:val="00F32029"/>
    <w:rsid w:val="00F34D49"/>
    <w:rsid w:val="00F70EC7"/>
    <w:rsid w:val="00FA4347"/>
    <w:rsid w:val="00FA7905"/>
    <w:rsid w:val="00FD6300"/>
    <w:rsid w:val="00FE295E"/>
    <w:rsid w:val="00FF333E"/>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9870"/>
  <w15:chartTrackingRefBased/>
  <w15:docId w15:val="{5D1D5175-B610-44BD-8171-F09A151A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B04"/>
    <w:rPr>
      <w:rFonts w:eastAsiaTheme="majorEastAsia" w:cstheme="majorBidi"/>
      <w:color w:val="272727" w:themeColor="text1" w:themeTint="D8"/>
    </w:rPr>
  </w:style>
  <w:style w:type="paragraph" w:styleId="Title">
    <w:name w:val="Title"/>
    <w:basedOn w:val="Normal"/>
    <w:next w:val="Normal"/>
    <w:link w:val="TitleChar"/>
    <w:uiPriority w:val="10"/>
    <w:qFormat/>
    <w:rsid w:val="00206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B04"/>
    <w:pPr>
      <w:spacing w:before="160"/>
      <w:jc w:val="center"/>
    </w:pPr>
    <w:rPr>
      <w:i/>
      <w:iCs/>
      <w:color w:val="404040" w:themeColor="text1" w:themeTint="BF"/>
    </w:rPr>
  </w:style>
  <w:style w:type="character" w:customStyle="1" w:styleId="QuoteChar">
    <w:name w:val="Quote Char"/>
    <w:basedOn w:val="DefaultParagraphFont"/>
    <w:link w:val="Quote"/>
    <w:uiPriority w:val="29"/>
    <w:rsid w:val="00206B04"/>
    <w:rPr>
      <w:i/>
      <w:iCs/>
      <w:color w:val="404040" w:themeColor="text1" w:themeTint="BF"/>
    </w:rPr>
  </w:style>
  <w:style w:type="paragraph" w:styleId="ListParagraph">
    <w:name w:val="List Paragraph"/>
    <w:basedOn w:val="Normal"/>
    <w:uiPriority w:val="34"/>
    <w:qFormat/>
    <w:rsid w:val="00206B04"/>
    <w:pPr>
      <w:ind w:left="720"/>
      <w:contextualSpacing/>
    </w:pPr>
  </w:style>
  <w:style w:type="character" w:styleId="IntenseEmphasis">
    <w:name w:val="Intense Emphasis"/>
    <w:basedOn w:val="DefaultParagraphFont"/>
    <w:uiPriority w:val="21"/>
    <w:qFormat/>
    <w:rsid w:val="00206B04"/>
    <w:rPr>
      <w:i/>
      <w:iCs/>
      <w:color w:val="0F4761" w:themeColor="accent1" w:themeShade="BF"/>
    </w:rPr>
  </w:style>
  <w:style w:type="paragraph" w:styleId="IntenseQuote">
    <w:name w:val="Intense Quote"/>
    <w:basedOn w:val="Normal"/>
    <w:next w:val="Normal"/>
    <w:link w:val="IntenseQuoteChar"/>
    <w:uiPriority w:val="30"/>
    <w:qFormat/>
    <w:rsid w:val="00206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B04"/>
    <w:rPr>
      <w:i/>
      <w:iCs/>
      <w:color w:val="0F4761" w:themeColor="accent1" w:themeShade="BF"/>
    </w:rPr>
  </w:style>
  <w:style w:type="character" w:styleId="IntenseReference">
    <w:name w:val="Intense Reference"/>
    <w:basedOn w:val="DefaultParagraphFont"/>
    <w:uiPriority w:val="32"/>
    <w:qFormat/>
    <w:rsid w:val="00206B04"/>
    <w:rPr>
      <w:b/>
      <w:bCs/>
      <w:smallCaps/>
      <w:color w:val="0F4761" w:themeColor="accent1" w:themeShade="BF"/>
      <w:spacing w:val="5"/>
    </w:rPr>
  </w:style>
  <w:style w:type="paragraph" w:styleId="Header">
    <w:name w:val="header"/>
    <w:basedOn w:val="Normal"/>
    <w:link w:val="HeaderChar"/>
    <w:uiPriority w:val="99"/>
    <w:unhideWhenUsed/>
    <w:rsid w:val="00FD6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00"/>
  </w:style>
  <w:style w:type="paragraph" w:styleId="Footer">
    <w:name w:val="footer"/>
    <w:basedOn w:val="Normal"/>
    <w:link w:val="FooterChar"/>
    <w:uiPriority w:val="99"/>
    <w:unhideWhenUsed/>
    <w:rsid w:val="00FD6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00"/>
  </w:style>
  <w:style w:type="character" w:styleId="Hyperlink">
    <w:name w:val="Hyperlink"/>
    <w:basedOn w:val="DefaultParagraphFont"/>
    <w:uiPriority w:val="99"/>
    <w:unhideWhenUsed/>
    <w:rsid w:val="00C102D3"/>
    <w:rPr>
      <w:color w:val="467886" w:themeColor="hyperlink"/>
      <w:u w:val="single"/>
    </w:rPr>
  </w:style>
  <w:style w:type="character" w:styleId="UnresolvedMention">
    <w:name w:val="Unresolved Mention"/>
    <w:basedOn w:val="DefaultParagraphFont"/>
    <w:uiPriority w:val="99"/>
    <w:semiHidden/>
    <w:unhideWhenUsed/>
    <w:rsid w:val="00C10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03179">
      <w:bodyDiv w:val="1"/>
      <w:marLeft w:val="0"/>
      <w:marRight w:val="0"/>
      <w:marTop w:val="0"/>
      <w:marBottom w:val="0"/>
      <w:divBdr>
        <w:top w:val="none" w:sz="0" w:space="0" w:color="auto"/>
        <w:left w:val="none" w:sz="0" w:space="0" w:color="auto"/>
        <w:bottom w:val="none" w:sz="0" w:space="0" w:color="auto"/>
        <w:right w:val="none" w:sz="0" w:space="0" w:color="auto"/>
      </w:divBdr>
    </w:div>
    <w:div w:id="14315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livecoverage/nvidia-earnings-stock-ai-expectations-results-revenue-q1/card/nvidia-s-high-quality-bonds-are-yielding-more-than-5--T4sicOovRkDWP1IohAAZ" TargetMode="External"/><Relationship Id="rId3" Type="http://schemas.openxmlformats.org/officeDocument/2006/relationships/settings" Target="settings.xml"/><Relationship Id="rId7" Type="http://schemas.openxmlformats.org/officeDocument/2006/relationships/hyperlink" Target="https://www.schwab.com/learn/story/schwabs-long-term-capital-market-expec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dc:creator>
  <cp:keywords/>
  <dc:description/>
  <cp:lastModifiedBy>James Le</cp:lastModifiedBy>
  <cp:revision>144</cp:revision>
  <dcterms:created xsi:type="dcterms:W3CDTF">2024-10-25T22:13:00Z</dcterms:created>
  <dcterms:modified xsi:type="dcterms:W3CDTF">2024-11-27T06:14:00Z</dcterms:modified>
</cp:coreProperties>
</file>