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实验二：专家示范与高质量数据工程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实验目的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本实验要求学生基于 SO-101 双臂遥操作系统，完成一个面向服务场景的视觉抓取数据集采集任务。学生需要通过 Leader 主臂遥操作 Follower 执行臂，采集若干条标准化专家示范轨迹，并理解高质量机器人数据集对模仿学习训练的重要影响。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通过本实验，学生应掌握以下内容：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理解专家示范数据在模仿学习中的作用；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掌握基于 LeRobot 的遥操作数据采集流程；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熟悉图像、关节状态、动作指令和 episode 元数据之间的关系；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能够按照统一规范采集高质量示范数据；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能够对采集数据进行初步检查与质量筛选。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实验背景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端到端机器人模仿学习中，模型并不是直接被“告诉”如何抓取物体，而是通过大量专家示范学习“在某种视觉观察和机器人状态下，应该执行什么动作”。因此，示范数据的质量会直接影响后续策略训练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本课程的目标任务为：</w:t>
        <w:br/>
      </w:r>
      <w:r>
        <w:rPr>
          <w:rFonts w:eastAsia="等线" w:ascii="Arial" w:cs="Arial" w:hAnsi="Arial"/>
          <w:b w:val="true"/>
          <w:sz w:val="22"/>
        </w:rPr>
        <w:t>通过 SO-101 机械臂夹取桌面上的目标红色方块。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实验一已经完成 SO-101 主从臂校准和遥操作测试。校准完成后，Leader 主臂可以实时控制 Follower 执行臂，相关遥操作命令会自动识别校准文件并连接设备。在本实验中，学生将在此基础上进一步完成专家示范数据采集。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实验任务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本实验围绕一个标准抓取任务展开：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操作者通过 Leader 主臂控制 Follower 执行臂，从桌面上抓取目标红色方块，并将其移动到指定区域。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每组学生需要完成：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实验设备与前置条件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4.1 硬件设备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有文档中已经将三类相机机位进行了清晰定义：俯视相机负责全局物体位置和机械臂状态，侧视相机负责末端执行器与物体接触细节，腕部相机负责夹爪方向一致的局部观察。实验二应要求学生严格保持这些机位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4.2 软件前置条件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学生应已完成：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LeRobot 环境创建；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Follower 执行臂校准；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Leader 主臂校准；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Leader-Follower 遥操作测试；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串口权限配置。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实验一中使用的端口检测与权限配置包括：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/dev/ttyACM*</w:t>
              <w:br/>
            </w:r>
            <w:r>
              <w:rPr>
                <w:rFonts w:eastAsia="Consolas" w:ascii="Consolas" w:cs="Consolas" w:hAnsi="Consolas"/>
                <w:sz w:val="22"/>
              </w:rPr>
              <w:t>sudo chmod 666 /dev/ttyACM*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其中，Follower 通常先插入并识别为 </w:t>
      </w:r>
      <w:r>
        <w:rPr>
          <w:rFonts w:eastAsia="Consolas" w:ascii="Consolas" w:cs="Consolas" w:hAnsi="Consolas"/>
          <w:sz w:val="22"/>
          <w:shd w:fill="EFF0F1"/>
        </w:rPr>
        <w:t>/dev/ttyACM0</w:t>
      </w:r>
      <w:r>
        <w:rPr>
          <w:rFonts w:eastAsia="等线" w:ascii="Arial" w:cs="Arial" w:hAnsi="Arial"/>
          <w:sz w:val="22"/>
        </w:rPr>
        <w:t xml:space="preserve">，Leader 后插入并识别为 </w:t>
      </w:r>
      <w:r>
        <w:rPr>
          <w:rFonts w:eastAsia="Consolas" w:ascii="Consolas" w:cs="Consolas" w:hAnsi="Consolas"/>
          <w:sz w:val="22"/>
          <w:shd w:fill="EFF0F1"/>
        </w:rPr>
        <w:t>/dev/ttyACM1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数据采集前检查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正式录制前，每组必须完成以下检查。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5.1 机械臂状态检查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174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5.2 相机状态检查</w:t>
      </w:r>
      <w:bookmarkEnd w:id="8"/>
    </w:p>
    <w:p>
      <w:pPr>
        <w:spacing w:before="120" w:after="120" w:line="288" w:lineRule="auto"/>
        <w:ind w:left="0"/>
      </w:pPr>
      <w:r>
        <w:object>
          <v:shape id="_x0000_i1028" style="width:414pt;height:150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5.3 任务区域检查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建议在桌面上用胶带标出：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目标物初始区域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机械臂安全活动范围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抓取后放置区域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相机视野边界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这样可以保证不同小组采集的数据具有较好的一致性。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专家示范动作规范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为了保证数据可用于后续 ACT / SmolVLA 策略训练，每条 episode 建议按照固定动作阶段完成。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6.1 标准动作流程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一条合格 episode 应包括：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准备阶段</w:t>
      </w:r>
      <w:r>
        <w:rPr>
          <w:rFonts w:eastAsia="等线" w:ascii="Arial" w:cs="Arial" w:hAnsi="Arial"/>
          <w:sz w:val="22"/>
        </w:rPr>
        <w:t>：机械臂回到初始姿态，夹爪张开；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接近阶段</w:t>
      </w:r>
      <w:r>
        <w:rPr>
          <w:rFonts w:eastAsia="等线" w:ascii="Arial" w:cs="Arial" w:hAnsi="Arial"/>
          <w:sz w:val="22"/>
        </w:rPr>
        <w:t>：夹爪从上方或侧上方接近红色方块；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对准阶段</w:t>
      </w:r>
      <w:r>
        <w:rPr>
          <w:rFonts w:eastAsia="等线" w:ascii="Arial" w:cs="Arial" w:hAnsi="Arial"/>
          <w:sz w:val="22"/>
        </w:rPr>
        <w:t>：调整夹爪姿态，使方块处于夹爪中心；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夹取阶段</w:t>
      </w:r>
      <w:r>
        <w:rPr>
          <w:rFonts w:eastAsia="等线" w:ascii="Arial" w:cs="Arial" w:hAnsi="Arial"/>
          <w:sz w:val="22"/>
        </w:rPr>
        <w:t>：缓慢闭合夹爪并夹住方块；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抬升阶段</w:t>
      </w:r>
      <w:r>
        <w:rPr>
          <w:rFonts w:eastAsia="等线" w:ascii="Arial" w:cs="Arial" w:hAnsi="Arial"/>
          <w:sz w:val="22"/>
        </w:rPr>
        <w:t>：将方块抬离桌面；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移动阶段</w:t>
      </w:r>
      <w:r>
        <w:rPr>
          <w:rFonts w:eastAsia="等线" w:ascii="Arial" w:cs="Arial" w:hAnsi="Arial"/>
          <w:sz w:val="22"/>
        </w:rPr>
        <w:t>：移动到指定放置区域；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释放阶段</w:t>
      </w:r>
      <w:r>
        <w:rPr>
          <w:rFonts w:eastAsia="等线" w:ascii="Arial" w:cs="Arial" w:hAnsi="Arial"/>
          <w:sz w:val="22"/>
        </w:rPr>
        <w:t>：打开夹爪释放方块；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结束阶段</w:t>
      </w:r>
      <w:r>
        <w:rPr>
          <w:rFonts w:eastAsia="等线" w:ascii="Arial" w:cs="Arial" w:hAnsi="Arial"/>
          <w:sz w:val="22"/>
        </w:rPr>
        <w:t>：机械臂停留在安全位置。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6.2 示范数据质量标准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建议使用“四项标准”：</w:t>
      </w:r>
    </w:p>
    <w:p>
      <w:pPr>
        <w:spacing w:before="120" w:after="120" w:line="288" w:lineRule="auto"/>
        <w:ind w:left="0"/>
      </w:pPr>
      <w:r>
        <w:object>
          <v:shape id="_x0000_i1029" style="width:414pt;height:168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这里可以明确告诉学生：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高质量数据不是“成功一次就行”，而是要让模型看到稳定、清晰、可学习的动作规律。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LeRobot 数据录制流程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7.1 启动遥操作检查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录制前先运行遥操作测试命令，确认主从臂能正常同步：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lerobot-teleoperate \</w:t>
              <w:br/>
              <w:t xml:space="preserve">  --robot.type=so101_follower \</w:t>
              <w:br/>
              <w:t xml:space="preserve">  --robot.port=/dev/ttyACM0 \</w:t>
              <w:br/>
              <w:t xml:space="preserve">  --robot.id=follower_arm \</w:t>
              <w:br/>
              <w:t xml:space="preserve">  --teleop.type=so101_leader \</w:t>
              <w:br/>
              <w:t xml:space="preserve">  --teleop.port=/dev/ttyACM1 \</w:t>
              <w:br/>
              <w:t xml:space="preserve">  --teleop.id=leader_arm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--display_data=true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该命令是实验一中用于 Leader 控制 Follower 的基础命令，运行后会自动识别校准文件并开始遥操作。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7.2 数据集命名规范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建议每组按以下格式命名数据集：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so101_red_cube_groupXX_v1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so101_red_cube_group03_v1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so101</w:t>
      </w:r>
      <w:r>
        <w:rPr>
          <w:rFonts w:eastAsia="等线" w:ascii="Arial" w:cs="Arial" w:hAnsi="Arial"/>
          <w:sz w:val="22"/>
        </w:rPr>
        <w:t>：机械臂平台；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red_cube</w:t>
      </w:r>
      <w:r>
        <w:rPr>
          <w:rFonts w:eastAsia="等线" w:ascii="Arial" w:cs="Arial" w:hAnsi="Arial"/>
          <w:sz w:val="22"/>
        </w:rPr>
        <w:t>：任务对象；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groupXX</w:t>
      </w:r>
      <w:r>
        <w:rPr>
          <w:rFonts w:eastAsia="等线" w:ascii="Arial" w:cs="Arial" w:hAnsi="Arial"/>
          <w:sz w:val="22"/>
        </w:rPr>
        <w:t>：小组编号；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v1</w:t>
      </w:r>
      <w:r>
        <w:rPr>
          <w:rFonts w:eastAsia="等线" w:ascii="Arial" w:cs="Arial" w:hAnsi="Arial"/>
          <w:sz w:val="22"/>
        </w:rPr>
        <w:t>：数据集版本。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7.3 Episode 命名规范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建议每条 episode 自动编号，例如：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episode_000</w:t>
              <w:br/>
              <w:t>episode_001</w:t>
              <w:br/>
              <w:t>episode_002</w:t>
              <w:br/>
            </w:r>
            <w:r>
              <w:rPr>
                <w:rFonts w:eastAsia="Consolas" w:ascii="Consolas" w:cs="Consolas" w:hAnsi="Consolas"/>
                <w:sz w:val="22"/>
              </w:rPr>
              <w:t>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不要手动随意改名，避免后续训练脚本找不到数据。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7.4 数据录制命令模板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具体命令应以你们当前 LeRobot / Seeed Studio 版本为准。指导书中可以先给出“命令模板”，正式上课时由教师根据实际版本提供最终命令：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lerobot-record \</w:t>
              <w:br/>
              <w:t xml:space="preserve">  --robot.type=so101_follower \</w:t>
              <w:br/>
              <w:t xml:space="preserve">  --robot.port=/dev/ttyACM0 \</w:t>
              <w:br/>
              <w:t xml:space="preserve">  --robot.id=follower_arm \</w:t>
              <w:br/>
              <w:t xml:space="preserve">  --teleop.type=so101_leader \</w:t>
              <w:br/>
              <w:t xml:space="preserve">  --teleop.port=/dev/ttyACM1 \</w:t>
              <w:br/>
              <w:t xml:space="preserve">  --teleop.id=leader_arm \</w:t>
              <w:br/>
              <w:t xml:space="preserve">  --dataset.repo_id=local/so101_red_cube_groupXX_v1 \</w:t>
              <w:br/>
              <w:t xml:space="preserve">  --dataset.num_episodes=10 \</w:t>
              <w:br/>
              <w:t xml:space="preserve">  --dataset.single_task="Pick up the red cube and place it in the target area"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--display_data=true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如果你当前版本没有 </w:t>
      </w:r>
      <w:r>
        <w:rPr>
          <w:rFonts w:eastAsia="Consolas" w:ascii="Consolas" w:cs="Consolas" w:hAnsi="Consolas"/>
          <w:sz w:val="22"/>
          <w:shd w:fill="EFF0F1"/>
        </w:rPr>
        <w:t>lerobot-record</w:t>
      </w:r>
      <w:r>
        <w:rPr>
          <w:rFonts w:eastAsia="等线" w:ascii="Arial" w:cs="Arial" w:hAnsi="Arial"/>
          <w:sz w:val="22"/>
        </w:rPr>
        <w:t xml:space="preserve"> 这个命令，或者参数名称不同，建议在指导书中写成：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本节录制命令以课堂提供的 LeRobot 版本为准。学生需保持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robot.id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teleop.id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与实验一校准时一致。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这样可以避免因 LeRobot 版本更新导致指导书失效。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数据结构理解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录制完成后，学生需要理解 LeRobot 数据集通常包含三类核心信息：</w:t>
      </w:r>
    </w:p>
    <w:p>
      <w:pPr>
        <w:spacing w:before="120" w:after="120" w:line="288" w:lineRule="auto"/>
        <w:ind w:left="0"/>
      </w:pPr>
      <w:r>
        <w:object>
          <v:shape id="_x0000_i1030" style="width:414pt;height:155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可以让学生重点观察：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数据集中是否有 </w:t>
      </w:r>
      <w:r>
        <w:rPr>
          <w:rFonts w:eastAsia="Consolas" w:ascii="Consolas" w:cs="Consolas" w:hAnsi="Consolas"/>
          <w:sz w:val="22"/>
          <w:shd w:fill="EFF0F1"/>
        </w:rPr>
        <w:t>meta</w:t>
      </w:r>
      <w:r>
        <w:rPr>
          <w:rFonts w:eastAsia="等线" w:ascii="Arial" w:cs="Arial" w:hAnsi="Arial"/>
          <w:sz w:val="22"/>
        </w:rPr>
        <w:t xml:space="preserve"> 目录；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是否有视频文件；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 parquet 文件；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episode 数量是否符合要求；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图像是否能正常回放；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 episode 是否包含完整抓取过程。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这一节的目的不是要求学生深入修改数据格式，而是建立一个基本认识：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LeRobot 数据集不是普通视频文件，而是图像、状态、动作和任务信息对齐后的多模态机器人轨迹数据。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数据质量检查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录制完成后，每组需要对 episode 进行筛选。建议设置“保留标准”和“删除标准”。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9.1 建议保留的数据</w:t>
      </w:r>
      <w:bookmarkEnd w:id="20"/>
    </w:p>
    <w:p>
      <w:pPr>
        <w:spacing w:before="120" w:after="120" w:line="288" w:lineRule="auto"/>
        <w:ind w:left="0"/>
      </w:pPr>
      <w:r>
        <w:object>
          <v:shape id="_x0000_i1031" style="width:414pt;height:141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9.2 建议删除的数据</w:t>
      </w:r>
      <w:bookmarkEnd w:id="21"/>
    </w:p>
    <w:p>
      <w:pPr>
        <w:spacing w:before="120" w:after="120" w:line="288" w:lineRule="auto"/>
        <w:ind w:left="0"/>
      </w:pPr>
      <w:r>
        <w:object>
          <v:shape id="_x0000_i1032" style="width:414pt;height:192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9.3 质量检查表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学生每组提交如下表格：</w:t>
      </w:r>
    </w:p>
    <w:p>
      <w:pPr>
        <w:spacing w:before="120" w:after="120" w:line="288" w:lineRule="auto"/>
        <w:ind w:left="0"/>
      </w:pPr>
      <w:r>
        <w:object>
          <v:shape id="_x0000_i1033" style="width:414pt;height:99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实验提交要求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每组需要提交：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数据集目录截图；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10 条 episode 的录制记录；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数据质量检查表；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段代表性成功 episode 视频或回放截图；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简短实验报告。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实验报告建议命名为：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实验二_专家示范与高质量数据工程_第X组.pdf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报告内容包括：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小组成员</w:t>
              <w:br/>
              <w:t>2. 数据集名称</w:t>
              <w:br/>
              <w:t>3. 采集任务描述</w:t>
              <w:br/>
              <w:t>4. 使用相机视角</w:t>
              <w:br/>
              <w:t>5. 采集 episode 总数</w:t>
              <w:br/>
              <w:t>6. 保留 episode 数量</w:t>
              <w:br/>
              <w:t>7. 删除 episode 数量</w:t>
              <w:br/>
              <w:t>8. 典型失败案例分析</w:t>
              <w:br/>
            </w:r>
            <w:r>
              <w:rPr>
                <w:rFonts w:eastAsia="Consolas" w:ascii="Consolas" w:cs="Consolas" w:hAnsi="Consolas"/>
                <w:sz w:val="22"/>
              </w:rPr>
              <w:t>9. 数据质量改进建议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实验验收标准</w:t>
      </w:r>
      <w:bookmarkEnd w:id="24"/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常见问题与处理</w:t>
      </w:r>
      <w:bookmarkEnd w:id="25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13. </w:t>
      </w:r>
      <w:r>
        <w:rPr>
          <w:rFonts w:eastAsia="等线" w:ascii="Arial" w:cs="Arial" w:hAnsi="Arial"/>
          <w:b w:val="true"/>
          <w:sz w:val="32"/>
        </w:rPr>
        <w:t>教学重点提醒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教师在讲解本实验时可以强调三句话：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机器人模仿学习的上限，往往首先由数据质量决定。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成功的 episode 不一定是高质量 episode，稳定、清晰、一致的数据才真正适合训练。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实验二的核心不是“录够数量”，而是让学生理解什么样的数据能被模型学到。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14. </w:t>
      </w:r>
      <w:r>
        <w:rPr>
          <w:rFonts w:eastAsia="等线" w:ascii="Arial" w:cs="Arial" w:hAnsi="Arial"/>
          <w:b w:val="true"/>
          <w:sz w:val="32"/>
        </w:rPr>
        <w:t>与实验三的衔接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实验二输出的高质量数据集将作为实验三的输入。后续实验将基于本实验采集的数据训练 ACT 或 SmolVLA 策略，并将训练后的模型部署回 SO-101 机械臂进行真实抓取测试。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因此，本实验的直接产出应包括：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数据集目录</w:t>
              <w:br/>
              <w:t>数据质量检查表</w:t>
              <w:br/>
              <w:t>有效 episode 列表</w:t>
              <w:br/>
            </w:r>
            <w:r>
              <w:rPr>
                <w:rFonts w:eastAsia="Consolas" w:ascii="Consolas" w:cs="Consolas" w:hAnsi="Consolas"/>
                <w:sz w:val="22"/>
              </w:rPr>
              <w:t>失败 episode 分析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这四项内容将决定实验三能否顺利进行。</w:t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42299">
    <w:lvl>
      <w:start w:val="1"/>
      <w:numFmt w:val="decimal"/>
      <w:suff w:val="tab"/>
      <w:lvlText w:val="%1."/>
      <w:rPr>
        <w:color w:val="3370ff"/>
      </w:rPr>
    </w:lvl>
  </w:abstractNum>
  <w:abstractNum w:abstractNumId="4642300">
    <w:lvl>
      <w:start w:val="2"/>
      <w:numFmt w:val="decimal"/>
      <w:suff w:val="tab"/>
      <w:lvlText w:val="%1."/>
      <w:rPr>
        <w:color w:val="3370ff"/>
      </w:rPr>
    </w:lvl>
  </w:abstractNum>
  <w:abstractNum w:abstractNumId="4642301">
    <w:lvl>
      <w:start w:val="3"/>
      <w:numFmt w:val="decimal"/>
      <w:suff w:val="tab"/>
      <w:lvlText w:val="%1."/>
      <w:rPr>
        <w:color w:val="3370ff"/>
      </w:rPr>
    </w:lvl>
  </w:abstractNum>
  <w:abstractNum w:abstractNumId="4642302">
    <w:lvl>
      <w:start w:val="4"/>
      <w:numFmt w:val="decimal"/>
      <w:suff w:val="tab"/>
      <w:lvlText w:val="%1."/>
      <w:rPr>
        <w:color w:val="3370ff"/>
      </w:rPr>
    </w:lvl>
  </w:abstractNum>
  <w:abstractNum w:abstractNumId="4642303">
    <w:lvl>
      <w:start w:val="5"/>
      <w:numFmt w:val="decimal"/>
      <w:suff w:val="tab"/>
      <w:lvlText w:val="%1."/>
      <w:rPr>
        <w:color w:val="3370ff"/>
      </w:rPr>
    </w:lvl>
  </w:abstractNum>
  <w:abstractNum w:abstractNumId="4642304">
    <w:lvl>
      <w:start w:val="1"/>
      <w:numFmt w:val="decimal"/>
      <w:suff w:val="tab"/>
      <w:lvlText w:val="%1."/>
      <w:rPr>
        <w:color w:val="3370ff"/>
      </w:rPr>
    </w:lvl>
  </w:abstractNum>
  <w:abstractNum w:abstractNumId="4642305">
    <w:lvl>
      <w:start w:val="2"/>
      <w:numFmt w:val="decimal"/>
      <w:suff w:val="tab"/>
      <w:lvlText w:val="%1."/>
      <w:rPr>
        <w:color w:val="3370ff"/>
      </w:rPr>
    </w:lvl>
  </w:abstractNum>
  <w:abstractNum w:abstractNumId="4642306">
    <w:lvl>
      <w:start w:val="3"/>
      <w:numFmt w:val="decimal"/>
      <w:suff w:val="tab"/>
      <w:lvlText w:val="%1."/>
      <w:rPr>
        <w:color w:val="3370ff"/>
      </w:rPr>
    </w:lvl>
  </w:abstractNum>
  <w:abstractNum w:abstractNumId="4642307">
    <w:lvl>
      <w:start w:val="4"/>
      <w:numFmt w:val="decimal"/>
      <w:suff w:val="tab"/>
      <w:lvlText w:val="%1."/>
      <w:rPr>
        <w:color w:val="3370ff"/>
      </w:rPr>
    </w:lvl>
  </w:abstractNum>
  <w:abstractNum w:abstractNumId="4642308">
    <w:lvl>
      <w:start w:val="5"/>
      <w:numFmt w:val="decimal"/>
      <w:suff w:val="tab"/>
      <w:lvlText w:val="%1."/>
      <w:rPr>
        <w:color w:val="3370ff"/>
      </w:rPr>
    </w:lvl>
  </w:abstractNum>
  <w:abstractNum w:abstractNumId="4642309">
    <w:lvl>
      <w:start w:val="1"/>
      <w:numFmt w:val="decimal"/>
      <w:suff w:val="tab"/>
      <w:lvlText w:val="%1."/>
      <w:rPr>
        <w:color w:val="3370ff"/>
      </w:rPr>
    </w:lvl>
  </w:abstractNum>
  <w:abstractNum w:abstractNumId="4642310">
    <w:lvl>
      <w:start w:val="2"/>
      <w:numFmt w:val="decimal"/>
      <w:suff w:val="tab"/>
      <w:lvlText w:val="%1."/>
      <w:rPr>
        <w:color w:val="3370ff"/>
      </w:rPr>
    </w:lvl>
  </w:abstractNum>
  <w:abstractNum w:abstractNumId="4642311">
    <w:lvl>
      <w:start w:val="3"/>
      <w:numFmt w:val="decimal"/>
      <w:suff w:val="tab"/>
      <w:lvlText w:val="%1."/>
      <w:rPr>
        <w:color w:val="3370ff"/>
      </w:rPr>
    </w:lvl>
  </w:abstractNum>
  <w:abstractNum w:abstractNumId="4642312">
    <w:lvl>
      <w:start w:val="4"/>
      <w:numFmt w:val="decimal"/>
      <w:suff w:val="tab"/>
      <w:lvlText w:val="%1."/>
      <w:rPr>
        <w:color w:val="3370ff"/>
      </w:rPr>
    </w:lvl>
  </w:abstractNum>
  <w:abstractNum w:abstractNumId="4642313">
    <w:lvl>
      <w:start w:val="1"/>
      <w:numFmt w:val="decimal"/>
      <w:suff w:val="tab"/>
      <w:lvlText w:val="%1."/>
      <w:rPr>
        <w:color w:val="3370ff"/>
      </w:rPr>
    </w:lvl>
  </w:abstractNum>
  <w:abstractNum w:abstractNumId="4642314">
    <w:lvl>
      <w:start w:val="2"/>
      <w:numFmt w:val="decimal"/>
      <w:suff w:val="tab"/>
      <w:lvlText w:val="%1."/>
      <w:rPr>
        <w:color w:val="3370ff"/>
      </w:rPr>
    </w:lvl>
  </w:abstractNum>
  <w:abstractNum w:abstractNumId="4642315">
    <w:lvl>
      <w:start w:val="3"/>
      <w:numFmt w:val="decimal"/>
      <w:suff w:val="tab"/>
      <w:lvlText w:val="%1."/>
      <w:rPr>
        <w:color w:val="3370ff"/>
      </w:rPr>
    </w:lvl>
  </w:abstractNum>
  <w:abstractNum w:abstractNumId="4642316">
    <w:lvl>
      <w:start w:val="4"/>
      <w:numFmt w:val="decimal"/>
      <w:suff w:val="tab"/>
      <w:lvlText w:val="%1."/>
      <w:rPr>
        <w:color w:val="3370ff"/>
      </w:rPr>
    </w:lvl>
  </w:abstractNum>
  <w:abstractNum w:abstractNumId="4642317">
    <w:lvl>
      <w:start w:val="5"/>
      <w:numFmt w:val="decimal"/>
      <w:suff w:val="tab"/>
      <w:lvlText w:val="%1."/>
      <w:rPr>
        <w:color w:val="3370ff"/>
      </w:rPr>
    </w:lvl>
  </w:abstractNum>
  <w:abstractNum w:abstractNumId="4642318">
    <w:lvl>
      <w:start w:val="6"/>
      <w:numFmt w:val="decimal"/>
      <w:suff w:val="tab"/>
      <w:lvlText w:val="%1."/>
      <w:rPr>
        <w:color w:val="3370ff"/>
      </w:rPr>
    </w:lvl>
  </w:abstractNum>
  <w:abstractNum w:abstractNumId="4642319">
    <w:lvl>
      <w:start w:val="7"/>
      <w:numFmt w:val="decimal"/>
      <w:suff w:val="tab"/>
      <w:lvlText w:val="%1."/>
      <w:rPr>
        <w:color w:val="3370ff"/>
      </w:rPr>
    </w:lvl>
  </w:abstractNum>
  <w:abstractNum w:abstractNumId="4642320">
    <w:lvl>
      <w:start w:val="8"/>
      <w:numFmt w:val="decimal"/>
      <w:suff w:val="tab"/>
      <w:lvlText w:val="%1."/>
      <w:rPr>
        <w:color w:val="3370ff"/>
      </w:rPr>
    </w:lvl>
  </w:abstractNum>
  <w:abstractNum w:abstractNumId="4642321">
    <w:lvl>
      <w:numFmt w:val="bullet"/>
      <w:suff w:val="tab"/>
      <w:lvlText w:val="•"/>
      <w:rPr>
        <w:color w:val="3370ff"/>
      </w:rPr>
    </w:lvl>
  </w:abstractNum>
  <w:abstractNum w:abstractNumId="4642322">
    <w:lvl>
      <w:numFmt w:val="bullet"/>
      <w:suff w:val="tab"/>
      <w:lvlText w:val="•"/>
      <w:rPr>
        <w:color w:val="3370ff"/>
      </w:rPr>
    </w:lvl>
  </w:abstractNum>
  <w:abstractNum w:abstractNumId="4642323">
    <w:lvl>
      <w:numFmt w:val="bullet"/>
      <w:suff w:val="tab"/>
      <w:lvlText w:val="•"/>
      <w:rPr>
        <w:color w:val="3370ff"/>
      </w:rPr>
    </w:lvl>
  </w:abstractNum>
  <w:abstractNum w:abstractNumId="4642324">
    <w:lvl>
      <w:numFmt w:val="bullet"/>
      <w:suff w:val="tab"/>
      <w:lvlText w:val="•"/>
      <w:rPr>
        <w:color w:val="3370ff"/>
      </w:rPr>
    </w:lvl>
  </w:abstractNum>
  <w:abstractNum w:abstractNumId="4642325">
    <w:lvl>
      <w:start w:val="1"/>
      <w:numFmt w:val="decimal"/>
      <w:suff w:val="tab"/>
      <w:lvlText w:val="%1."/>
      <w:rPr>
        <w:color w:val="3370ff"/>
      </w:rPr>
    </w:lvl>
  </w:abstractNum>
  <w:abstractNum w:abstractNumId="4642326">
    <w:lvl>
      <w:start w:val="2"/>
      <w:numFmt w:val="decimal"/>
      <w:suff w:val="tab"/>
      <w:lvlText w:val="%1."/>
      <w:rPr>
        <w:color w:val="3370ff"/>
      </w:rPr>
    </w:lvl>
  </w:abstractNum>
  <w:abstractNum w:abstractNumId="4642327">
    <w:lvl>
      <w:start w:val="3"/>
      <w:numFmt w:val="decimal"/>
      <w:suff w:val="tab"/>
      <w:lvlText w:val="%1."/>
      <w:rPr>
        <w:color w:val="3370ff"/>
      </w:rPr>
    </w:lvl>
  </w:abstractNum>
  <w:abstractNum w:abstractNumId="4642328">
    <w:lvl>
      <w:start w:val="4"/>
      <w:numFmt w:val="decimal"/>
      <w:suff w:val="tab"/>
      <w:lvlText w:val="%1."/>
      <w:rPr>
        <w:color w:val="3370ff"/>
      </w:rPr>
    </w:lvl>
  </w:abstractNum>
  <w:abstractNum w:abstractNumId="4642329">
    <w:lvl>
      <w:start w:val="5"/>
      <w:numFmt w:val="decimal"/>
      <w:suff w:val="tab"/>
      <w:lvlText w:val="%1."/>
      <w:rPr>
        <w:color w:val="3370ff"/>
      </w:rPr>
    </w:lvl>
  </w:abstractNum>
  <w:abstractNum w:abstractNumId="4642330">
    <w:lvl>
      <w:start w:val="6"/>
      <w:numFmt w:val="decimal"/>
      <w:suff w:val="tab"/>
      <w:lvlText w:val="%1."/>
      <w:rPr>
        <w:color w:val="3370ff"/>
      </w:rPr>
    </w:lvl>
  </w:abstractNum>
  <w:abstractNum w:abstractNumId="4642331">
    <w:lvl>
      <w:start w:val="1"/>
      <w:numFmt w:val="decimal"/>
      <w:suff w:val="tab"/>
      <w:lvlText w:val="%1."/>
      <w:rPr>
        <w:color w:val="3370ff"/>
      </w:rPr>
    </w:lvl>
  </w:abstractNum>
  <w:abstractNum w:abstractNumId="4642332">
    <w:lvl>
      <w:start w:val="2"/>
      <w:numFmt w:val="decimal"/>
      <w:suff w:val="tab"/>
      <w:lvlText w:val="%1."/>
      <w:rPr>
        <w:color w:val="3370ff"/>
      </w:rPr>
    </w:lvl>
  </w:abstractNum>
  <w:abstractNum w:abstractNumId="4642333">
    <w:lvl>
      <w:start w:val="3"/>
      <w:numFmt w:val="decimal"/>
      <w:suff w:val="tab"/>
      <w:lvlText w:val="%1."/>
      <w:rPr>
        <w:color w:val="3370ff"/>
      </w:rPr>
    </w:lvl>
  </w:abstractNum>
  <w:abstractNum w:abstractNumId="4642334">
    <w:lvl>
      <w:start w:val="4"/>
      <w:numFmt w:val="decimal"/>
      <w:suff w:val="tab"/>
      <w:lvlText w:val="%1."/>
      <w:rPr>
        <w:color w:val="3370ff"/>
      </w:rPr>
    </w:lvl>
  </w:abstractNum>
  <w:abstractNum w:abstractNumId="4642335">
    <w:lvl>
      <w:start w:val="5"/>
      <w:numFmt w:val="decimal"/>
      <w:suff w:val="tab"/>
      <w:lvlText w:val="%1."/>
      <w:rPr>
        <w:color w:val="3370ff"/>
      </w:rPr>
    </w:lvl>
  </w:abstractNum>
  <w:abstractNum w:abstractNumId="4642336">
    <w:lvl>
      <w:start w:val="1"/>
      <w:numFmt w:val="decimal"/>
      <w:suff w:val="tab"/>
      <w:lvlText w:val="%1."/>
      <w:rPr>
        <w:color w:val="3370ff"/>
      </w:rPr>
    </w:lvl>
  </w:abstractNum>
  <w:abstractNum w:abstractNumId="4642337">
    <w:lvl>
      <w:start w:val="2"/>
      <w:numFmt w:val="decimal"/>
      <w:suff w:val="tab"/>
      <w:lvlText w:val="%1."/>
      <w:rPr>
        <w:color w:val="3370ff"/>
      </w:rPr>
    </w:lvl>
  </w:abstractNum>
  <w:abstractNum w:abstractNumId="464233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642299"/>
  </w:num>
  <w:num w:numId="2">
    <w:abstractNumId w:val="4642300"/>
  </w:num>
  <w:num w:numId="3">
    <w:abstractNumId w:val="4642301"/>
  </w:num>
  <w:num w:numId="4">
    <w:abstractNumId w:val="4642302"/>
  </w:num>
  <w:num w:numId="5">
    <w:abstractNumId w:val="4642303"/>
  </w:num>
  <w:num w:numId="6">
    <w:abstractNumId w:val="4642304"/>
  </w:num>
  <w:num w:numId="7">
    <w:abstractNumId w:val="4642305"/>
  </w:num>
  <w:num w:numId="8">
    <w:abstractNumId w:val="4642306"/>
  </w:num>
  <w:num w:numId="9">
    <w:abstractNumId w:val="4642307"/>
  </w:num>
  <w:num w:numId="10">
    <w:abstractNumId w:val="4642308"/>
  </w:num>
  <w:num w:numId="11">
    <w:abstractNumId w:val="4642309"/>
  </w:num>
  <w:num w:numId="12">
    <w:abstractNumId w:val="4642310"/>
  </w:num>
  <w:num w:numId="13">
    <w:abstractNumId w:val="4642311"/>
  </w:num>
  <w:num w:numId="14">
    <w:abstractNumId w:val="4642312"/>
  </w:num>
  <w:num w:numId="15">
    <w:abstractNumId w:val="4642313"/>
  </w:num>
  <w:num w:numId="16">
    <w:abstractNumId w:val="4642314"/>
  </w:num>
  <w:num w:numId="17">
    <w:abstractNumId w:val="4642315"/>
  </w:num>
  <w:num w:numId="18">
    <w:abstractNumId w:val="4642316"/>
  </w:num>
  <w:num w:numId="19">
    <w:abstractNumId w:val="4642317"/>
  </w:num>
  <w:num w:numId="20">
    <w:abstractNumId w:val="4642318"/>
  </w:num>
  <w:num w:numId="21">
    <w:abstractNumId w:val="4642319"/>
  </w:num>
  <w:num w:numId="22">
    <w:abstractNumId w:val="4642320"/>
  </w:num>
  <w:num w:numId="23">
    <w:abstractNumId w:val="4642321"/>
  </w:num>
  <w:num w:numId="24">
    <w:abstractNumId w:val="4642322"/>
  </w:num>
  <w:num w:numId="25">
    <w:abstractNumId w:val="4642323"/>
  </w:num>
  <w:num w:numId="26">
    <w:abstractNumId w:val="4642324"/>
  </w:num>
  <w:num w:numId="27">
    <w:abstractNumId w:val="4642325"/>
  </w:num>
  <w:num w:numId="28">
    <w:abstractNumId w:val="4642326"/>
  </w:num>
  <w:num w:numId="29">
    <w:abstractNumId w:val="4642327"/>
  </w:num>
  <w:num w:numId="30">
    <w:abstractNumId w:val="4642328"/>
  </w:num>
  <w:num w:numId="31">
    <w:abstractNumId w:val="4642329"/>
  </w:num>
  <w:num w:numId="32">
    <w:abstractNumId w:val="4642330"/>
  </w:num>
  <w:num w:numId="33">
    <w:abstractNumId w:val="4642331"/>
  </w:num>
  <w:num w:numId="34">
    <w:abstractNumId w:val="4642332"/>
  </w:num>
  <w:num w:numId="35">
    <w:abstractNumId w:val="4642333"/>
  </w:num>
  <w:num w:numId="36">
    <w:abstractNumId w:val="4642334"/>
  </w:num>
  <w:num w:numId="37">
    <w:abstractNumId w:val="4642335"/>
  </w:num>
  <w:num w:numId="38">
    <w:abstractNumId w:val="4642336"/>
  </w:num>
  <w:num w:numId="39">
    <w:abstractNumId w:val="4642337"/>
  </w:num>
  <w:num w:numId="40">
    <w:abstractNumId w:val="46423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2026-05-12T03:01:26Z</dcterms:created>
  <dc:creator>Apache POI</dc:creator>
</cp:coreProperties>
</file>