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SimHei" w:cs="SimHei" w:eastAsia="SimHei" w:hAnsi="SimHei"/>
          <w:b/>
          <w:bCs/>
          <w:sz w:val="36"/>
          <w:szCs w:val="36"/>
        </w:rPr>
        <w:t xml:space="preserve">FilmTrace：基于 MovieLens 100K 的电影推荐系统</w:t>
      </w:r>
    </w:p>
    <w:p>
      <w:pPr>
        <w:spacing w:after="200"/>
        <w:jc w:val="center"/>
      </w:pPr>
      <w:r>
        <w:rPr>
          <w:rFonts w:ascii="SimHei" w:cs="SimHei" w:eastAsia="SimHei" w:hAnsi="SimHei"/>
          <w:sz w:val="24"/>
          <w:szCs w:val="24"/>
        </w:rPr>
        <w:t xml:space="preserve">项目报告（精简版）</w:t>
      </w:r>
    </w:p>
    <w:p>
      <w:pPr>
        <w:spacing w:after="20"/>
        <w:jc w:val="center"/>
      </w:pPr>
      <w:r>
        <w:rPr>
          <w:sz w:val="20"/>
          <w:szCs w:val="20"/>
        </w:rPr>
        <w:t xml:space="preserve">课程：【课程名称】　　学号：【学号】　　姓名：【姓名】</w:t>
      </w:r>
    </w:p>
    <w:p>
      <w:pPr>
        <w:spacing w:after="200"/>
        <w:jc w:val="center"/>
      </w:pPr>
      <w:r>
        <w:rPr>
          <w:sz w:val="20"/>
          <w:szCs w:val="20"/>
        </w:rPr>
        <w:t xml:space="preserve">日期：2026年6月</w:t>
      </w:r>
    </w:p>
    <w:p>
      <w:pPr>
        <w:pStyle w:val="Heading1"/>
        <w:spacing w:after="100" w:before="160"/>
      </w:pPr>
      <w:r>
        <w:rPr>
          <w:sz w:val="28"/>
          <w:szCs w:val="28"/>
        </w:rPr>
        <w:t xml:space="preserve">一、问题定义</w:t>
      </w:r>
    </w:p>
    <w:p>
      <w:pPr>
        <w:spacing w:after="60" w:before="0" w:line="276"/>
      </w:pPr>
      <w:r>
        <w:rPr>
          <w:sz w:val="22"/>
          <w:szCs w:val="22"/>
        </w:rPr>
        <w:t xml:space="preserve">随着在线影视平台内容规模迅速增长，用户难以在大量电影中找到符合自身偏好的内容（信息过载问题）。本项目要解决两类核心问题：（1）评分预测——给定用户历史评分，预测其对未评分电影的评分（回归问题）；（2）Top-N 排序推荐——在用户未评分的电影集合中筛选并排序出最值得推荐的 N 部电影。对应的用户痛点是：新用户缺乏历史评分导致冷启动；用户难以了解平台整体评分分布与自身观影口味；运营方需要集中管理电影库、用户数据与算法参数。</w:t>
      </w:r>
    </w:p>
    <w:p>
      <w:pPr>
        <w:spacing w:after="60" w:before="0" w:line="276"/>
      </w:pPr>
      <w:r>
        <w:rPr>
          <w:sz w:val="22"/>
          <w:szCs w:val="22"/>
        </w:rPr>
        <w:t xml:space="preserve">项目目标：①基于 MovieLens 100K 数据集，系统实现并对比 6 类基线模型、UserCF、ItemCF、SVD（偏置残差）与元数据混合模型共 9 类推荐算法；②建立涵盖 RMSE/MAE 与 Precision@K/Recall@K/HitRate@K/NDCG@K/覆盖率的评估体系，完成超参数敏感性分析；③基于上述算法构建面向用户与管理员的 Streamlit Web 应用（FilmTrace），通过“偏好类型选择”缓解冷启动，通过“数据可视化/用户画像”提升可解释性，并通过管理员后台实现电影库、用户、评分、算法与评估的统一管理。</w:t>
      </w:r>
    </w:p>
    <w:p>
      <w:pPr>
        <w:pStyle w:val="Heading1"/>
        <w:spacing w:after="100" w:before="160"/>
      </w:pPr>
      <w:r>
        <w:rPr>
          <w:sz w:val="28"/>
          <w:szCs w:val="28"/>
        </w:rPr>
        <w:t xml:space="preserve">二、数据探索摘要</w:t>
      </w:r>
    </w:p>
    <w:p>
      <w:pPr>
        <w:spacing w:after="60" w:before="0" w:line="276"/>
      </w:pPr>
      <w:r>
        <w:rPr>
          <w:sz w:val="22"/>
          <w:szCs w:val="22"/>
        </w:rPr>
        <w:t xml:space="preserve">本项目使用 MovieLens 100K 数据集（GroupLens 发布），包含 943 名用户对 1,682 部电影的 100,000 条评分（1-5 整数等级，附时间戳）。评分矩阵理论规模为 943×1,682，实际填充率约 6.3%（稀疏度 93.7%）。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2166"/>
        <w:gridCol w:w="3971"/>
      </w:tblGrid>
      <w:tr>
        <w:trPr>
          <w:tblHeader/>
        </w:trPr>
        <w:tc>
          <w:tcPr>
            <w:tcW w:type="dxa" w:w="2888"/>
            <w:tcBorders>
              <w:top w:val="single" w:color="BFBFBF" w:sz="2"/>
              <w:left w:val="single" w:color="BFBFBF" w:sz="2"/>
              <w:bottom w:val="single" w:color="BFBFBF" w:sz="2"/>
              <w:right w:val="single" w:color="BFBFBF" w:sz="2"/>
            </w:tcBorders>
            <w:shd w:fill="DDEBF7" w:val="clear"/>
            <w:tcMar>
              <w:top w:type="dxa" w:w="60"/>
              <w:left w:type="dxa" w:w="100"/>
              <w:bottom w:type="dxa" w:w="60"/>
              <w:right w:type="dxa" w:w="100"/>
            </w:tcMar>
          </w:tcPr>
          <w:p>
            <w:r>
              <w:rPr>
                <w:b/>
                <w:bCs/>
                <w:sz w:val="20"/>
                <w:szCs w:val="20"/>
              </w:rPr>
              <w:t xml:space="preserve">字段</w:t>
            </w:r>
          </w:p>
        </w:tc>
        <w:tc>
          <w:tcPr>
            <w:tcW w:type="dxa" w:w="2166"/>
            <w:tcBorders>
              <w:top w:val="single" w:color="BFBFBF" w:sz="2"/>
              <w:left w:val="single" w:color="BFBFBF" w:sz="2"/>
              <w:bottom w:val="single" w:color="BFBFBF" w:sz="2"/>
              <w:right w:val="single" w:color="BFBFBF" w:sz="2"/>
            </w:tcBorders>
            <w:shd w:fill="DDEBF7" w:val="clear"/>
            <w:tcMar>
              <w:top w:type="dxa" w:w="60"/>
              <w:left w:type="dxa" w:w="100"/>
              <w:bottom w:type="dxa" w:w="60"/>
              <w:right w:type="dxa" w:w="100"/>
            </w:tcMar>
          </w:tcPr>
          <w:p>
            <w:r>
              <w:rPr>
                <w:b/>
                <w:bCs/>
                <w:sz w:val="20"/>
                <w:szCs w:val="20"/>
              </w:rPr>
              <w:t xml:space="preserve">来源</w:t>
            </w:r>
          </w:p>
        </w:tc>
        <w:tc>
          <w:tcPr>
            <w:tcW w:type="dxa" w:w="3971"/>
            <w:tcBorders>
              <w:top w:val="single" w:color="BFBFBF" w:sz="2"/>
              <w:left w:val="single" w:color="BFBFBF" w:sz="2"/>
              <w:bottom w:val="single" w:color="BFBFBF" w:sz="2"/>
              <w:right w:val="single" w:color="BFBFBF" w:sz="2"/>
            </w:tcBorders>
            <w:shd w:fill="DDEBF7" w:val="clear"/>
            <w:tcMar>
              <w:top w:type="dxa" w:w="60"/>
              <w:left w:type="dxa" w:w="100"/>
              <w:bottom w:type="dxa" w:w="60"/>
              <w:right w:type="dxa" w:w="100"/>
            </w:tcMar>
          </w:tcPr>
          <w:p>
            <w:r>
              <w:rPr>
                <w:b/>
                <w:bCs/>
                <w:sz w:val="20"/>
                <w:szCs w:val="20"/>
              </w:rPr>
              <w:t xml:space="preserve">用途</w:t>
            </w:r>
          </w:p>
        </w:tc>
      </w:tr>
      <w:tr>
        <w:trPr>
          <w:tblHeader w:val="false"/>
        </w:trPr>
        <w:tc>
          <w:tcPr>
            <w:tcW w:type="dxa" w:w="288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user_id / movie_id</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u.data / u.item</w:t>
            </w:r>
          </w:p>
        </w:tc>
        <w:tc>
          <w:tcPr>
            <w:tcW w:type="dxa" w:w="397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用户与电影标识，构建评分矩阵</w:t>
            </w:r>
          </w:p>
        </w:tc>
      </w:tr>
      <w:tr>
        <w:trPr>
          <w:tblHeader w:val="false"/>
        </w:trPr>
        <w:tc>
          <w:tcPr>
            <w:tcW w:type="dxa" w:w="288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rating / timestamp</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u.data</w:t>
            </w:r>
          </w:p>
        </w:tc>
        <w:tc>
          <w:tcPr>
            <w:tcW w:type="dxa" w:w="397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评分标签；按用户时间序列划分训练/测试集</w:t>
            </w:r>
          </w:p>
        </w:tc>
      </w:tr>
      <w:tr>
        <w:trPr>
          <w:tblHeader w:val="false"/>
        </w:trPr>
        <w:tc>
          <w:tcPr>
            <w:tcW w:type="dxa" w:w="288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title / release_year / genres</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u.item</w:t>
            </w:r>
          </w:p>
        </w:tc>
        <w:tc>
          <w:tcPr>
            <w:tcW w:type="dxa" w:w="397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电影库展示、类型分布统计、混合模型特征</w:t>
            </w:r>
          </w:p>
        </w:tc>
      </w:tr>
    </w:tbl>
    <w:p>
      <w:pPr>
        <w:spacing w:after="60" w:before="0" w:line="276"/>
      </w:pPr>
      <w:r>
        <w:rPr>
          <w:sz w:val="22"/>
          <w:szCs w:val="22"/>
        </w:rPr>
        <w:t xml:space="preserve">数据清洗包括：字段类型转换、片名年份解析、19 列类型标记转为 genres 列表、评分范围核验（严格 1-5）。</w:t>
      </w:r>
    </w:p>
    <w:p>
      <w:pPr>
        <w:spacing w:after="80" w:before="120"/>
        <w:jc w:val="center"/>
      </w:pPr>
      <w:r>
        <w:drawing>
          <wp:inline distT="0" distB="0" distL="0" distR="0">
            <wp:extent cx="1905000" cy="1171575"/>
            <wp:effectExtent t="0" r="0" b="0" l="0"/>
            <wp:docPr id="1" name="rating_distribution.png" descr="rating_distribution.png" title="rating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171575"/>
                    </a:xfrm>
                    <a:prstGeom prst="rect">
                      <a:avLst/>
                    </a:prstGeom>
                  </pic:spPr>
                </pic:pic>
              </a:graphicData>
            </a:graphic>
          </wp:inline>
        </w:drawing>
      </w:r>
    </w:p>
    <w:p>
      <w:pPr>
        <w:spacing w:after="160"/>
        <w:jc w:val="center"/>
      </w:pPr>
      <w:r>
        <w:rPr>
          <w:i/>
          <w:iCs/>
          <w:sz w:val="20"/>
          <w:szCs w:val="20"/>
        </w:rPr>
        <w:t xml:space="preserve">图1 评分分布直方图</w:t>
      </w:r>
    </w:p>
    <w:p>
      <w:pPr>
        <w:spacing w:after="80" w:before="120"/>
        <w:jc w:val="center"/>
      </w:pPr>
      <w:r>
        <w:drawing>
          <wp:inline distT="0" distB="0" distL="0" distR="0">
            <wp:extent cx="1905000" cy="1905000"/>
            <wp:effectExtent t="0" r="0" b="0" l="0"/>
            <wp:docPr id="1" name="genre_counts.png" descr="genre_counts.png" title="genre_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905000"/>
                    </a:xfrm>
                    <a:prstGeom prst="rect">
                      <a:avLst/>
                    </a:prstGeom>
                  </pic:spPr>
                </pic:pic>
              </a:graphicData>
            </a:graphic>
          </wp:inline>
        </w:drawing>
      </w:r>
    </w:p>
    <w:p>
      <w:pPr>
        <w:spacing w:after="160"/>
        <w:jc w:val="center"/>
      </w:pPr>
      <w:r>
        <w:rPr>
          <w:i/>
          <w:iCs/>
          <w:sz w:val="20"/>
          <w:szCs w:val="20"/>
        </w:rPr>
        <w:t xml:space="preserve">图2 电影类型数量分布</w:t>
      </w:r>
    </w:p>
    <w:p>
      <w:pPr>
        <w:spacing w:after="60" w:before="0" w:line="276"/>
      </w:pPr>
      <w:r>
        <w:rPr>
          <w:sz w:val="22"/>
          <w:szCs w:val="22"/>
        </w:rPr>
        <w:t xml:space="preserve">图1 显示评分集中于 3-4 分、呈左偏分布；图2 显示 Drama、Comedy、Action 等类型电影数量明显领先，类型分布不均衡也是个性化与覆盖率之间存在权衡的数据背景之一。</w:t>
      </w:r>
    </w:p>
    <w:p>
      <w:r>
        <w:br w:type="page"/>
      </w:r>
    </w:p>
    <w:p>
      <w:pPr>
        <w:pStyle w:val="Heading1"/>
        <w:spacing w:after="100" w:before="160"/>
      </w:pPr>
      <w:r>
        <w:rPr>
          <w:sz w:val="28"/>
          <w:szCs w:val="28"/>
        </w:rPr>
        <w:t xml:space="preserve">三、方法（流程图）</w:t>
      </w:r>
    </w:p>
    <w:p>
      <w:pPr>
        <w:spacing w:after="60" w:before="0" w:line="276"/>
      </w:pPr>
      <w:r>
        <w:rPr>
          <w:sz w:val="22"/>
          <w:szCs w:val="22"/>
        </w:rPr>
        <w:t xml:space="preserve">图3 为本项目数据与算法处理流程；图4 为系统功能调用流程。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
        <w:gridCol w:w="1100"/>
        <w:gridCol w:w="220"/>
        <w:gridCol w:w="1100"/>
        <w:gridCol w:w="220"/>
        <w:gridCol w:w="1100"/>
        <w:gridCol w:w="220"/>
        <w:gridCol w:w="1100"/>
        <w:gridCol w:w="220"/>
        <w:gridCol w:w="1100"/>
        <w:gridCol w:w="220"/>
        <w:gridCol w:w="1100"/>
      </w:tblGrid>
      <w:tr>
        <w:tc>
          <w:tcPr>
            <w:tcW w:type="dxa" w:w="1100"/>
            <w:tcBorders>
              <w:top w:val="single" w:color="BFBFBF" w:sz="2"/>
              <w:left w:val="single" w:color="BFBFBF" w:sz="2"/>
              <w:bottom w:val="single" w:color="BFBFBF" w:sz="2"/>
              <w:right w:val="single" w:color="BFBFBF" w:sz="2"/>
            </w:tcBorders>
            <w:shd w:fill="D9E8FB" w:val="clear"/>
            <w:tcMar>
              <w:top w:type="dxa" w:w="60"/>
              <w:left w:type="dxa" w:w="60"/>
              <w:bottom w:type="dxa" w:w="60"/>
              <w:right w:type="dxa" w:w="60"/>
            </w:tcMar>
            <w:vAlign w:val="center"/>
          </w:tcPr>
          <w:p>
            <w:pPr>
              <w:jc w:val="center"/>
            </w:pPr>
            <w:r>
              <w:rPr>
                <w:b/>
                <w:bCs/>
                <w:sz w:val="18"/>
                <w:szCs w:val="18"/>
              </w:rPr>
              <w:t xml:space="preserve">数据加载</w:t>
            </w:r>
          </w:p>
        </w:tc>
        <w:tc>
          <w:tcPr>
            <w:tcW w:type="dxa" w:w="22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center"/>
            </w:pPr>
            <w:r>
              <w:rPr>
                <w:b/>
                <w:bCs/>
                <w:sz w:val="22"/>
                <w:szCs w:val="22"/>
              </w:rPr>
              <w:t xml:space="preserve">→</w:t>
            </w:r>
          </w:p>
        </w:tc>
        <w:tc>
          <w:tcPr>
            <w:tcW w:type="dxa" w:w="1100"/>
            <w:tcBorders>
              <w:top w:val="single" w:color="BFBFBF" w:sz="2"/>
              <w:left w:val="single" w:color="BFBFBF" w:sz="2"/>
              <w:bottom w:val="single" w:color="BFBFBF" w:sz="2"/>
              <w:right w:val="single" w:color="BFBFBF" w:sz="2"/>
            </w:tcBorders>
            <w:shd w:fill="D9E8FB" w:val="clear"/>
            <w:tcMar>
              <w:top w:type="dxa" w:w="60"/>
              <w:left w:type="dxa" w:w="60"/>
              <w:bottom w:type="dxa" w:w="60"/>
              <w:right w:type="dxa" w:w="60"/>
            </w:tcMar>
            <w:vAlign w:val="center"/>
          </w:tcPr>
          <w:p>
            <w:pPr>
              <w:jc w:val="center"/>
            </w:pPr>
            <w:r>
              <w:rPr>
                <w:b/>
                <w:bCs/>
                <w:sz w:val="18"/>
                <w:szCs w:val="18"/>
              </w:rPr>
              <w:t xml:space="preserve">数据清洗</w:t>
            </w:r>
          </w:p>
        </w:tc>
        <w:tc>
          <w:tcPr>
            <w:tcW w:type="dxa" w:w="22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center"/>
            </w:pPr>
            <w:r>
              <w:rPr>
                <w:b/>
                <w:bCs/>
                <w:sz w:val="22"/>
                <w:szCs w:val="22"/>
              </w:rPr>
              <w:t xml:space="preserve">→</w:t>
            </w:r>
          </w:p>
        </w:tc>
        <w:tc>
          <w:tcPr>
            <w:tcW w:type="dxa" w:w="1100"/>
            <w:tcBorders>
              <w:top w:val="single" w:color="BFBFBF" w:sz="2"/>
              <w:left w:val="single" w:color="BFBFBF" w:sz="2"/>
              <w:bottom w:val="single" w:color="BFBFBF" w:sz="2"/>
              <w:right w:val="single" w:color="BFBFBF" w:sz="2"/>
            </w:tcBorders>
            <w:shd w:fill="D9E8FB" w:val="clear"/>
            <w:tcMar>
              <w:top w:type="dxa" w:w="60"/>
              <w:left w:type="dxa" w:w="60"/>
              <w:bottom w:type="dxa" w:w="60"/>
              <w:right w:type="dxa" w:w="60"/>
            </w:tcMar>
            <w:vAlign w:val="center"/>
          </w:tcPr>
          <w:p>
            <w:pPr>
              <w:jc w:val="center"/>
            </w:pPr>
            <w:r>
              <w:rPr>
                <w:b/>
                <w:bCs/>
                <w:sz w:val="18"/>
                <w:szCs w:val="18"/>
              </w:rPr>
              <w:t xml:space="preserve">特征预处理</w:t>
            </w:r>
          </w:p>
        </w:tc>
        <w:tc>
          <w:tcPr>
            <w:tcW w:type="dxa" w:w="22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center"/>
            </w:pPr>
            <w:r>
              <w:rPr>
                <w:b/>
                <w:bCs/>
                <w:sz w:val="22"/>
                <w:szCs w:val="22"/>
              </w:rPr>
              <w:t xml:space="preserve">→</w:t>
            </w:r>
          </w:p>
        </w:tc>
        <w:tc>
          <w:tcPr>
            <w:tcW w:type="dxa" w:w="1100"/>
            <w:tcBorders>
              <w:top w:val="single" w:color="BFBFBF" w:sz="2"/>
              <w:left w:val="single" w:color="BFBFBF" w:sz="2"/>
              <w:bottom w:val="single" w:color="BFBFBF" w:sz="2"/>
              <w:right w:val="single" w:color="BFBFBF" w:sz="2"/>
            </w:tcBorders>
            <w:shd w:fill="D9E8FB" w:val="clear"/>
            <w:tcMar>
              <w:top w:type="dxa" w:w="60"/>
              <w:left w:type="dxa" w:w="60"/>
              <w:bottom w:type="dxa" w:w="60"/>
              <w:right w:type="dxa" w:w="60"/>
            </w:tcMar>
            <w:vAlign w:val="center"/>
          </w:tcPr>
          <w:p>
            <w:pPr>
              <w:jc w:val="center"/>
            </w:pPr>
            <w:r>
              <w:rPr>
                <w:b/>
                <w:bCs/>
                <w:sz w:val="18"/>
                <w:szCs w:val="18"/>
              </w:rPr>
              <w:t xml:space="preserve">训练/测试划分</w:t>
            </w:r>
          </w:p>
        </w:tc>
        <w:tc>
          <w:tcPr>
            <w:tcW w:type="dxa" w:w="22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center"/>
            </w:pPr>
            <w:r>
              <w:rPr>
                <w:b/>
                <w:bCs/>
                <w:sz w:val="22"/>
                <w:szCs w:val="22"/>
              </w:rPr>
              <w:t xml:space="preserve">→</w:t>
            </w:r>
          </w:p>
        </w:tc>
        <w:tc>
          <w:tcPr>
            <w:tcW w:type="dxa" w:w="1100"/>
            <w:tcBorders>
              <w:top w:val="single" w:color="BFBFBF" w:sz="2"/>
              <w:left w:val="single" w:color="BFBFBF" w:sz="2"/>
              <w:bottom w:val="single" w:color="BFBFBF" w:sz="2"/>
              <w:right w:val="single" w:color="BFBFBF" w:sz="2"/>
            </w:tcBorders>
            <w:shd w:fill="D9E8FB" w:val="clear"/>
            <w:tcMar>
              <w:top w:type="dxa" w:w="60"/>
              <w:left w:type="dxa" w:w="60"/>
              <w:bottom w:type="dxa" w:w="60"/>
              <w:right w:type="dxa" w:w="60"/>
            </w:tcMar>
            <w:vAlign w:val="center"/>
          </w:tcPr>
          <w:p>
            <w:pPr>
              <w:jc w:val="center"/>
            </w:pPr>
            <w:r>
              <w:rPr>
                <w:b/>
                <w:bCs/>
                <w:sz w:val="18"/>
                <w:szCs w:val="18"/>
              </w:rPr>
              <w:t xml:space="preserve">9类模型训练</w:t>
            </w:r>
          </w:p>
        </w:tc>
        <w:tc>
          <w:tcPr>
            <w:tcW w:type="dxa" w:w="22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center"/>
            </w:pPr>
            <w:r>
              <w:rPr>
                <w:b/>
                <w:bCs/>
                <w:sz w:val="22"/>
                <w:szCs w:val="22"/>
              </w:rPr>
              <w:t xml:space="preserve">→</w:t>
            </w:r>
          </w:p>
        </w:tc>
        <w:tc>
          <w:tcPr>
            <w:tcW w:type="dxa" w:w="1100"/>
            <w:tcBorders>
              <w:top w:val="single" w:color="BFBFBF" w:sz="2"/>
              <w:left w:val="single" w:color="BFBFBF" w:sz="2"/>
              <w:bottom w:val="single" w:color="BFBFBF" w:sz="2"/>
              <w:right w:val="single" w:color="BFBFBF" w:sz="2"/>
            </w:tcBorders>
            <w:shd w:fill="D9E8FB" w:val="clear"/>
            <w:tcMar>
              <w:top w:type="dxa" w:w="60"/>
              <w:left w:type="dxa" w:w="60"/>
              <w:bottom w:type="dxa" w:w="60"/>
              <w:right w:type="dxa" w:w="60"/>
            </w:tcMar>
            <w:vAlign w:val="center"/>
          </w:tcPr>
          <w:p>
            <w:pPr>
              <w:jc w:val="center"/>
            </w:pPr>
            <w:r>
              <w:rPr>
                <w:b/>
                <w:bCs/>
                <w:sz w:val="18"/>
                <w:szCs w:val="18"/>
              </w:rPr>
              <w:t xml:space="preserve">评估(RMSE/MAE/Top-N)</w:t>
            </w:r>
          </w:p>
        </w:tc>
        <w:tc>
          <w:tcPr>
            <w:tcW w:type="dxa" w:w="22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center"/>
            </w:pPr>
            <w:r>
              <w:rPr>
                <w:b/>
                <w:bCs/>
                <w:sz w:val="22"/>
                <w:szCs w:val="22"/>
              </w:rPr>
              <w:t xml:space="preserve">→</w:t>
            </w:r>
          </w:p>
        </w:tc>
        <w:tc>
          <w:tcPr>
            <w:tcW w:type="dxa" w:w="1100"/>
            <w:tcBorders>
              <w:top w:val="single" w:color="BFBFBF" w:sz="2"/>
              <w:left w:val="single" w:color="BFBFBF" w:sz="2"/>
              <w:bottom w:val="single" w:color="BFBFBF" w:sz="2"/>
              <w:right w:val="single" w:color="BFBFBF" w:sz="2"/>
            </w:tcBorders>
            <w:shd w:fill="D9E8FB" w:val="clear"/>
            <w:tcMar>
              <w:top w:type="dxa" w:w="60"/>
              <w:left w:type="dxa" w:w="60"/>
              <w:bottom w:type="dxa" w:w="60"/>
              <w:right w:type="dxa" w:w="60"/>
            </w:tcMar>
            <w:vAlign w:val="center"/>
          </w:tcPr>
          <w:p>
            <w:pPr>
              <w:jc w:val="center"/>
            </w:pPr>
            <w:r>
              <w:rPr>
                <w:b/>
                <w:bCs/>
                <w:sz w:val="18"/>
                <w:szCs w:val="18"/>
              </w:rPr>
              <w:t xml:space="preserve">结果对比与可视化</w:t>
            </w:r>
          </w:p>
        </w:tc>
      </w:tr>
    </w:tbl>
    <w:p>
      <w:pPr>
        <w:spacing w:after="160"/>
        <w:jc w:val="center"/>
      </w:pPr>
      <w:r>
        <w:rPr>
          <w:i/>
          <w:iCs/>
          <w:sz w:val="20"/>
          <w:szCs w:val="20"/>
        </w:rPr>
        <w:t xml:space="preserve">图3 数据与算法处理流程</w:t>
      </w:r>
    </w:p>
    <w:p>
      <w:pPr>
        <w:spacing w:after="60" w:before="0" w:line="276"/>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9"/>
        <w:gridCol w:w="220"/>
        <w:gridCol w:w="1629"/>
        <w:gridCol w:w="220"/>
        <w:gridCol w:w="1629"/>
        <w:gridCol w:w="220"/>
        <w:gridCol w:w="1629"/>
        <w:gridCol w:w="220"/>
        <w:gridCol w:w="1629"/>
      </w:tblGrid>
      <w:tr>
        <w:tc>
          <w:tcPr>
            <w:tcW w:type="dxa" w:w="1629"/>
            <w:tcBorders>
              <w:top w:val="single" w:color="BFBFBF" w:sz="2"/>
              <w:left w:val="single" w:color="BFBFBF" w:sz="2"/>
              <w:bottom w:val="single" w:color="BFBFBF" w:sz="2"/>
              <w:right w:val="single" w:color="BFBFBF" w:sz="2"/>
            </w:tcBorders>
            <w:shd w:fill="D9E8FB" w:val="clear"/>
            <w:tcMar>
              <w:top w:type="dxa" w:w="60"/>
              <w:left w:type="dxa" w:w="60"/>
              <w:bottom w:type="dxa" w:w="60"/>
              <w:right w:type="dxa" w:w="60"/>
            </w:tcMar>
            <w:vAlign w:val="center"/>
          </w:tcPr>
          <w:p>
            <w:pPr>
              <w:jc w:val="center"/>
            </w:pPr>
            <w:r>
              <w:rPr>
                <w:b/>
                <w:bCs/>
                <w:sz w:val="18"/>
                <w:szCs w:val="18"/>
              </w:rPr>
              <w:t xml:space="preserve">注册/偏好选择</w:t>
            </w:r>
          </w:p>
        </w:tc>
        <w:tc>
          <w:tcPr>
            <w:tcW w:type="dxa" w:w="22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center"/>
            </w:pPr>
            <w:r>
              <w:rPr>
                <w:b/>
                <w:bCs/>
                <w:sz w:val="22"/>
                <w:szCs w:val="22"/>
              </w:rPr>
              <w:t xml:space="preserve">→</w:t>
            </w:r>
          </w:p>
        </w:tc>
        <w:tc>
          <w:tcPr>
            <w:tcW w:type="dxa" w:w="1629"/>
            <w:tcBorders>
              <w:top w:val="single" w:color="BFBFBF" w:sz="2"/>
              <w:left w:val="single" w:color="BFBFBF" w:sz="2"/>
              <w:bottom w:val="single" w:color="BFBFBF" w:sz="2"/>
              <w:right w:val="single" w:color="BFBFBF" w:sz="2"/>
            </w:tcBorders>
            <w:shd w:fill="D9E8FB" w:val="clear"/>
            <w:tcMar>
              <w:top w:type="dxa" w:w="60"/>
              <w:left w:type="dxa" w:w="60"/>
              <w:bottom w:type="dxa" w:w="60"/>
              <w:right w:type="dxa" w:w="60"/>
            </w:tcMar>
            <w:vAlign w:val="center"/>
          </w:tcPr>
          <w:p>
            <w:pPr>
              <w:jc w:val="center"/>
            </w:pPr>
            <w:r>
              <w:rPr>
                <w:b/>
                <w:bCs/>
                <w:sz w:val="18"/>
                <w:szCs w:val="18"/>
              </w:rPr>
              <w:t xml:space="preserve">浏览电影库/评分收藏</w:t>
            </w:r>
          </w:p>
        </w:tc>
        <w:tc>
          <w:tcPr>
            <w:tcW w:type="dxa" w:w="22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center"/>
            </w:pPr>
            <w:r>
              <w:rPr>
                <w:b/>
                <w:bCs/>
                <w:sz w:val="22"/>
                <w:szCs w:val="22"/>
              </w:rPr>
              <w:t xml:space="preserve">→</w:t>
            </w:r>
          </w:p>
        </w:tc>
        <w:tc>
          <w:tcPr>
            <w:tcW w:type="dxa" w:w="1629"/>
            <w:tcBorders>
              <w:top w:val="single" w:color="BFBFBF" w:sz="2"/>
              <w:left w:val="single" w:color="BFBFBF" w:sz="2"/>
              <w:bottom w:val="single" w:color="BFBFBF" w:sz="2"/>
              <w:right w:val="single" w:color="BFBFBF" w:sz="2"/>
            </w:tcBorders>
            <w:shd w:fill="D9E8FB" w:val="clear"/>
            <w:tcMar>
              <w:top w:type="dxa" w:w="60"/>
              <w:left w:type="dxa" w:w="60"/>
              <w:bottom w:type="dxa" w:w="60"/>
              <w:right w:type="dxa" w:w="60"/>
            </w:tcMar>
            <w:vAlign w:val="center"/>
          </w:tcPr>
          <w:p>
            <w:pPr>
              <w:jc w:val="center"/>
            </w:pPr>
            <w:r>
              <w:rPr>
                <w:b/>
                <w:bCs/>
                <w:sz w:val="18"/>
                <w:szCs w:val="18"/>
              </w:rPr>
              <w:t xml:space="preserve">推荐引擎调用</w:t>
            </w:r>
          </w:p>
        </w:tc>
        <w:tc>
          <w:tcPr>
            <w:tcW w:type="dxa" w:w="22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center"/>
            </w:pPr>
            <w:r>
              <w:rPr>
                <w:b/>
                <w:bCs/>
                <w:sz w:val="22"/>
                <w:szCs w:val="22"/>
              </w:rPr>
              <w:t xml:space="preserve">→</w:t>
            </w:r>
          </w:p>
        </w:tc>
        <w:tc>
          <w:tcPr>
            <w:tcW w:type="dxa" w:w="1629"/>
            <w:tcBorders>
              <w:top w:val="single" w:color="BFBFBF" w:sz="2"/>
              <w:left w:val="single" w:color="BFBFBF" w:sz="2"/>
              <w:bottom w:val="single" w:color="BFBFBF" w:sz="2"/>
              <w:right w:val="single" w:color="BFBFBF" w:sz="2"/>
            </w:tcBorders>
            <w:shd w:fill="D9E8FB" w:val="clear"/>
            <w:tcMar>
              <w:top w:type="dxa" w:w="60"/>
              <w:left w:type="dxa" w:w="60"/>
              <w:bottom w:type="dxa" w:w="60"/>
              <w:right w:type="dxa" w:w="60"/>
            </w:tcMar>
            <w:vAlign w:val="center"/>
          </w:tcPr>
          <w:p>
            <w:pPr>
              <w:jc w:val="center"/>
            </w:pPr>
            <w:r>
              <w:rPr>
                <w:b/>
                <w:bCs/>
                <w:sz w:val="18"/>
                <w:szCs w:val="18"/>
              </w:rPr>
              <w:t xml:space="preserve">个性化推荐结果</w:t>
            </w:r>
          </w:p>
        </w:tc>
        <w:tc>
          <w:tcPr>
            <w:tcW w:type="dxa" w:w="22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center"/>
            </w:pPr>
            <w:r>
              <w:rPr>
                <w:b/>
                <w:bCs/>
                <w:sz w:val="22"/>
                <w:szCs w:val="22"/>
              </w:rPr>
              <w:t xml:space="preserve">→</w:t>
            </w:r>
          </w:p>
        </w:tc>
        <w:tc>
          <w:tcPr>
            <w:tcW w:type="dxa" w:w="1629"/>
            <w:tcBorders>
              <w:top w:val="single" w:color="BFBFBF" w:sz="2"/>
              <w:left w:val="single" w:color="BFBFBF" w:sz="2"/>
              <w:bottom w:val="single" w:color="BFBFBF" w:sz="2"/>
              <w:right w:val="single" w:color="BFBFBF" w:sz="2"/>
            </w:tcBorders>
            <w:shd w:fill="D9E8FB" w:val="clear"/>
            <w:tcMar>
              <w:top w:type="dxa" w:w="60"/>
              <w:left w:type="dxa" w:w="60"/>
              <w:bottom w:type="dxa" w:w="60"/>
              <w:right w:type="dxa" w:w="60"/>
            </w:tcMar>
            <w:vAlign w:val="center"/>
          </w:tcPr>
          <w:p>
            <w:pPr>
              <w:jc w:val="center"/>
            </w:pPr>
            <w:r>
              <w:rPr>
                <w:b/>
                <w:bCs/>
                <w:sz w:val="18"/>
                <w:szCs w:val="18"/>
              </w:rPr>
              <w:t xml:space="preserve">用户画像与可视化</w:t>
            </w:r>
          </w:p>
        </w:tc>
      </w:tr>
    </w:tbl>
    <w:p>
      <w:pPr>
        <w:spacing w:after="160"/>
        <w:jc w:val="center"/>
      </w:pPr>
      <w:r>
        <w:rPr>
          <w:i/>
          <w:iCs/>
          <w:sz w:val="20"/>
          <w:szCs w:val="20"/>
        </w:rPr>
        <w:t xml:space="preserve">图4 系统功能调用流程（用户端）</w:t>
      </w:r>
    </w:p>
    <w:p>
      <w:pPr>
        <w:spacing w:after="60" w:before="0" w:line="276"/>
      </w:pPr>
      <w:r>
        <w:rPr>
          <w:sz w:val="22"/>
          <w:szCs w:val="22"/>
        </w:rPr>
        <w:t xml:space="preserve">9 类模型均为解析/分解类方法，不涉及深度学习的损失函数与梯度优化：</w:t>
      </w:r>
    </w:p>
    <w:p>
      <w:pPr>
        <w:pStyle w:val="ListParagraph"/>
        <w:numPr>
          <w:ilvl w:val="0"/>
          <w:numId w:val="2"/>
        </w:numPr>
        <w:spacing w:after="30" w:line="264"/>
      </w:pPr>
      <w:r>
        <w:rPr>
          <w:sz w:val="22"/>
          <w:szCs w:val="22"/>
        </w:rPr>
        <w:t xml:space="preserve">基线：全局/用户/物品均值直接取算术平均；正则化偏置基线通过带 L2 正则项（reg=1.0 最优）的最小二乘近似求解用户/物品偏置；随机评分在评分范围内均匀采样；最受欢迎按评分次数排序。</w:t>
      </w:r>
    </w:p>
    <w:p>
      <w:pPr>
        <w:pStyle w:val="ListParagraph"/>
        <w:numPr>
          <w:ilvl w:val="0"/>
          <w:numId w:val="2"/>
        </w:numPr>
        <w:spacing w:after="30" w:line="264"/>
      </w:pPr>
      <w:r>
        <w:rPr>
          <w:sz w:val="22"/>
          <w:szCs w:val="22"/>
        </w:rPr>
        <w:t xml:space="preserve">UserCF / ItemCF：基于余弦相似度/皮尔逊相关系数计算相似度矩阵，取 K 个邻居（K_NEIGHBORS∈[5,50]）加权平均。</w:t>
      </w:r>
    </w:p>
    <w:p>
      <w:pPr>
        <w:pStyle w:val="ListParagraph"/>
        <w:numPr>
          <w:ilvl w:val="0"/>
          <w:numId w:val="2"/>
        </w:numPr>
        <w:spacing w:after="30" w:line="264"/>
      </w:pPr>
      <w:r>
        <w:rPr>
          <w:sz w:val="22"/>
          <w:szCs w:val="22"/>
        </w:rPr>
        <w:t xml:space="preserve">SVD：先用正则化偏置基线拟合整体水平，再对残差矩阵做 TruncatedSVD 低秩分解，预测值=偏置+潜在因子内积，裁剪至 [1,5]。</w:t>
      </w:r>
    </w:p>
    <w:p>
      <w:pPr>
        <w:pStyle w:val="ListParagraph"/>
        <w:numPr>
          <w:ilvl w:val="0"/>
          <w:numId w:val="2"/>
        </w:numPr>
        <w:spacing w:after="30" w:line="264"/>
      </w:pPr>
      <w:r>
        <w:rPr>
          <w:sz w:val="22"/>
          <w:szCs w:val="22"/>
        </w:rPr>
        <w:t xml:space="preserve">Hybrid：以用户/物品偏置、用户对各类型历史均分、电影类型/年份等元数据特征训练回归模型，缓解冷启动。</w:t>
      </w:r>
    </w:p>
    <w:p>
      <w:pPr>
        <w:spacing w:after="60" w:before="0" w:line="276"/>
      </w:pPr>
      <w:r>
        <w:rPr>
          <w:sz w:val="22"/>
          <w:szCs w:val="22"/>
        </w:rPr>
        <w:t xml:space="preserve">所有模型基于同一份按用户时间序列划分的训练/测试集训练评估，random_state=42，预测评分统一裁剪至 [1,5]。</w:t>
      </w:r>
    </w:p>
    <w:p>
      <w:pPr>
        <w:pStyle w:val="Heading1"/>
        <w:spacing w:after="100" w:before="160"/>
      </w:pPr>
      <w:r>
        <w:rPr>
          <w:sz w:val="28"/>
          <w:szCs w:val="28"/>
        </w:rPr>
        <w:t xml:space="preserve">四、主要结果及讨论</w:t>
      </w:r>
    </w:p>
    <w:p>
      <w:pPr>
        <w:spacing w:after="60" w:before="0" w:line="276"/>
      </w:pPr>
      <w:r>
        <w:rPr>
          <w:sz w:val="22"/>
          <w:szCs w:val="22"/>
        </w:rPr>
        <w:t xml:space="preserve">表2 汇总关键评估结果（数据来源：notebooks/01_movielens_recommendation_executed.ipynb）。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3430"/>
        <w:gridCol w:w="2166"/>
      </w:tblGrid>
      <w:tr>
        <w:trPr>
          <w:tblHeader/>
        </w:trPr>
        <w:tc>
          <w:tcPr>
            <w:tcW w:type="dxa" w:w="3430"/>
            <w:tcBorders>
              <w:top w:val="single" w:color="BFBFBF" w:sz="2"/>
              <w:left w:val="single" w:color="BFBFBF" w:sz="2"/>
              <w:bottom w:val="single" w:color="BFBFBF" w:sz="2"/>
              <w:right w:val="single" w:color="BFBFBF" w:sz="2"/>
            </w:tcBorders>
            <w:shd w:fill="DDEBF7" w:val="clear"/>
            <w:tcMar>
              <w:top w:type="dxa" w:w="60"/>
              <w:left w:type="dxa" w:w="100"/>
              <w:bottom w:type="dxa" w:w="60"/>
              <w:right w:type="dxa" w:w="100"/>
            </w:tcMar>
          </w:tcPr>
          <w:p>
            <w:r>
              <w:rPr>
                <w:b/>
                <w:bCs/>
                <w:sz w:val="20"/>
                <w:szCs w:val="20"/>
              </w:rPr>
              <w:t xml:space="preserve">指标</w:t>
            </w:r>
          </w:p>
        </w:tc>
        <w:tc>
          <w:tcPr>
            <w:tcW w:type="dxa" w:w="3430"/>
            <w:tcBorders>
              <w:top w:val="single" w:color="BFBFBF" w:sz="2"/>
              <w:left w:val="single" w:color="BFBFBF" w:sz="2"/>
              <w:bottom w:val="single" w:color="BFBFBF" w:sz="2"/>
              <w:right w:val="single" w:color="BFBFBF" w:sz="2"/>
            </w:tcBorders>
            <w:shd w:fill="DDEBF7" w:val="clear"/>
            <w:tcMar>
              <w:top w:type="dxa" w:w="60"/>
              <w:left w:type="dxa" w:w="100"/>
              <w:bottom w:type="dxa" w:w="60"/>
              <w:right w:type="dxa" w:w="100"/>
            </w:tcMar>
          </w:tcPr>
          <w:p>
            <w:r>
              <w:rPr>
                <w:b/>
                <w:bCs/>
                <w:sz w:val="20"/>
                <w:szCs w:val="20"/>
              </w:rPr>
              <w:t xml:space="preserve">最优模型</w:t>
            </w:r>
          </w:p>
        </w:tc>
        <w:tc>
          <w:tcPr>
            <w:tcW w:type="dxa" w:w="2166"/>
            <w:tcBorders>
              <w:top w:val="single" w:color="BFBFBF" w:sz="2"/>
              <w:left w:val="single" w:color="BFBFBF" w:sz="2"/>
              <w:bottom w:val="single" w:color="BFBFBF" w:sz="2"/>
              <w:right w:val="single" w:color="BFBFBF" w:sz="2"/>
            </w:tcBorders>
            <w:shd w:fill="DDEBF7" w:val="clear"/>
            <w:tcMar>
              <w:top w:type="dxa" w:w="60"/>
              <w:left w:type="dxa" w:w="100"/>
              <w:bottom w:type="dxa" w:w="60"/>
              <w:right w:type="dxa" w:w="100"/>
            </w:tcMar>
          </w:tcPr>
          <w:p>
            <w:r>
              <w:rPr>
                <w:b/>
                <w:bCs/>
                <w:sz w:val="20"/>
                <w:szCs w:val="20"/>
              </w:rPr>
              <w:t xml:space="preserve">数值</w:t>
            </w:r>
          </w:p>
        </w:tc>
      </w:tr>
      <w:tr>
        <w:trPr>
          <w:tblHeader w:val="false"/>
        </w:trPr>
        <w:tc>
          <w:tcPr>
            <w:tcW w:type="dxa" w:w="34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RMSE</w:t>
            </w:r>
          </w:p>
        </w:tc>
        <w:tc>
          <w:tcPr>
            <w:tcW w:type="dxa" w:w="34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SVD（偏置残差 TruncatedSVD）</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0.9826</w:t>
            </w:r>
          </w:p>
        </w:tc>
      </w:tr>
      <w:tr>
        <w:trPr>
          <w:tblHeader w:val="false"/>
        </w:trPr>
        <w:tc>
          <w:tcPr>
            <w:tcW w:type="dxa" w:w="34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MAE</w:t>
            </w:r>
          </w:p>
        </w:tc>
        <w:tc>
          <w:tcPr>
            <w:tcW w:type="dxa" w:w="34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SVD（偏置残差 TruncatedSVD）</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0.7763</w:t>
            </w:r>
          </w:p>
        </w:tc>
      </w:tr>
      <w:tr>
        <w:trPr>
          <w:tblHeader w:val="false"/>
        </w:trPr>
        <w:tc>
          <w:tcPr>
            <w:tcW w:type="dxa" w:w="34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Precision@10 / Recall@10 / NDCG@10</w:t>
            </w:r>
          </w:p>
        </w:tc>
        <w:tc>
          <w:tcPr>
            <w:tcW w:type="dxa" w:w="34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Most Popular / GlobalMean / UserMean</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0.0684 / 0.0752 / 0.0908</w:t>
            </w:r>
          </w:p>
        </w:tc>
      </w:tr>
      <w:tr>
        <w:trPr>
          <w:tblHeader w:val="false"/>
        </w:trPr>
        <w:tc>
          <w:tcPr>
            <w:tcW w:type="dxa" w:w="34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Catalog Coverage（最优非随机）</w:t>
            </w:r>
          </w:p>
        </w:tc>
        <w:tc>
          <w:tcPr>
            <w:tcW w:type="dxa" w:w="34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User-Based CF</w:t>
            </w:r>
          </w:p>
        </w:tc>
        <w:tc>
          <w:tcPr>
            <w:tcW w:type="dxa" w:w="216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0.0916（Random 基线 0.3014）</w:t>
            </w:r>
          </w:p>
        </w:tc>
      </w:tr>
    </w:tbl>
    <w:p>
      <w:pPr>
        <w:spacing w:after="80" w:before="120"/>
        <w:jc w:val="center"/>
      </w:pPr>
      <w:r>
        <w:drawing>
          <wp:inline distT="0" distB="0" distL="0" distR="0">
            <wp:extent cx="1905000" cy="771525"/>
            <wp:effectExtent t="0" r="0" b="0" l="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71525"/>
                    </a:xfrm>
                    <a:prstGeom prst="rect">
                      <a:avLst/>
                    </a:prstGeom>
                  </pic:spPr>
                </pic:pic>
              </a:graphicData>
            </a:graphic>
          </wp:inline>
        </w:drawing>
      </w:r>
    </w:p>
    <w:p>
      <w:pPr>
        <w:spacing w:after="160"/>
        <w:jc w:val="center"/>
      </w:pPr>
      <w:r>
        <w:rPr>
          <w:i/>
          <w:iCs/>
          <w:sz w:val="20"/>
          <w:szCs w:val="20"/>
        </w:rPr>
        <w:t xml:space="preserve">图5 各模型 RMSE/MAE 对比</w:t>
      </w:r>
    </w:p>
    <w:p>
      <w:pPr>
        <w:spacing w:after="80" w:before="120"/>
        <w:jc w:val="center"/>
      </w:pPr>
      <w:r>
        <w:drawing>
          <wp:inline distT="0" distB="0" distL="0" distR="0">
            <wp:extent cx="1905000" cy="942975"/>
            <wp:effectExtent t="0" r="0" b="0" l="0"/>
            <wp:docPr id="1" name="topn_metrics_comparison.png" descr="topn_metrics_comparison.png" title="topn_metric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942975"/>
                    </a:xfrm>
                    <a:prstGeom prst="rect">
                      <a:avLst/>
                    </a:prstGeom>
                  </pic:spPr>
                </pic:pic>
              </a:graphicData>
            </a:graphic>
          </wp:inline>
        </w:drawing>
      </w:r>
    </w:p>
    <w:p>
      <w:pPr>
        <w:spacing w:after="160"/>
        <w:jc w:val="center"/>
      </w:pPr>
      <w:r>
        <w:rPr>
          <w:i/>
          <w:iCs/>
          <w:sz w:val="20"/>
          <w:szCs w:val="20"/>
        </w:rPr>
        <w:t xml:space="preserve">图6 各模型 Top-N 指标对比</w:t>
      </w:r>
    </w:p>
    <w:p>
      <w:pPr>
        <w:spacing w:after="60" w:before="0" w:line="276"/>
      </w:pPr>
      <w:r>
        <w:rPr>
          <w:sz w:val="22"/>
          <w:szCs w:val="22"/>
        </w:rPr>
        <w:t xml:space="preserve">讨论：</w:t>
      </w:r>
    </w:p>
    <w:p>
      <w:pPr>
        <w:pStyle w:val="ListParagraph"/>
        <w:numPr>
          <w:ilvl w:val="0"/>
          <w:numId w:val="2"/>
        </w:numPr>
        <w:spacing w:after="30" w:line="264"/>
      </w:pPr>
      <w:r>
        <w:rPr>
          <w:sz w:val="22"/>
          <w:szCs w:val="22"/>
        </w:rPr>
        <w:t xml:space="preserve">SVD（偏置残差）在评分预测上 RMSE/MAE 均最优，验证“先拟合偏置、再分解残差”思路的有效性；</w:t>
      </w:r>
    </w:p>
    <w:p>
      <w:pPr>
        <w:pStyle w:val="ListParagraph"/>
        <w:numPr>
          <w:ilvl w:val="0"/>
          <w:numId w:val="2"/>
        </w:numPr>
        <w:spacing w:after="30" w:line="264"/>
      </w:pPr>
      <w:r>
        <w:rPr>
          <w:sz w:val="22"/>
          <w:szCs w:val="22"/>
        </w:rPr>
        <w:t xml:space="preserve">在全目录离线 Top-N 评估协议下（rating≥4.0 视为相关、未评分视为“未知”），个性化模型（UserCF/ItemCF/SVD/Hybrid）未超过流行度基线，该现象在 3.0/3.5/4.0 三档阈值下一致出现，说明评估协议本身对个性化模型不友好，而非算法完全失效；</w:t>
      </w:r>
    </w:p>
    <w:p>
      <w:pPr>
        <w:pStyle w:val="ListParagraph"/>
        <w:numPr>
          <w:ilvl w:val="0"/>
          <w:numId w:val="2"/>
        </w:numPr>
        <w:spacing w:after="30" w:line="264"/>
      </w:pPr>
      <w:r>
        <w:rPr>
          <w:sz w:val="22"/>
          <w:szCs w:val="22"/>
        </w:rPr>
        <w:t xml:space="preserve">Random 基线 Catalog Coverage 最高（0.3014）但质量最低；User-Based CF 在非随机模型中覆盖率最高（0.0916），体现“准确率—覆盖率”权衡；</w:t>
      </w:r>
    </w:p>
    <w:p>
      <w:pPr>
        <w:pStyle w:val="ListParagraph"/>
        <w:numPr>
          <w:ilvl w:val="0"/>
          <w:numId w:val="2"/>
        </w:numPr>
        <w:spacing w:after="30" w:line="264"/>
      </w:pPr>
      <w:r>
        <w:rPr>
          <w:sz w:val="22"/>
          <w:szCs w:val="22"/>
        </w:rPr>
        <w:t xml:space="preserve">新用户冷启动通过“偏好类型选择 + Hybrid 元数据模型”缓解，未根本解决。</w:t>
      </w:r>
    </w:p>
    <w:p>
      <w:r>
        <w:br w:type="page"/>
      </w:r>
    </w:p>
    <w:p>
      <w:pPr>
        <w:pStyle w:val="Heading1"/>
        <w:spacing w:after="100" w:before="160"/>
      </w:pPr>
      <w:r>
        <w:rPr>
          <w:sz w:val="28"/>
          <w:szCs w:val="28"/>
        </w:rPr>
        <w:t xml:space="preserve">五、项目截图展示</w:t>
      </w:r>
    </w:p>
    <w:p>
      <w:pPr>
        <w:spacing w:after="60" w:before="0" w:line="276"/>
      </w:pPr>
      <w:r>
        <w:rPr>
          <w:sz w:val="22"/>
          <w:szCs w:val="22"/>
        </w:rPr>
        <w:t xml:space="preserve">图7-图14 展示了 FilmTrace 系统用户端与管理员端的主要功能界面。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2"/>
              <w:left w:val="single" w:color="BFBFBF" w:sz="2"/>
              <w:bottom w:val="single" w:color="BFBFBF" w:sz="2"/>
              <w:right w:val="single" w:color="BFBFBF" w:sz="2"/>
            </w:tcBorders>
            <w:tcMar>
              <w:top w:type="dxa" w:w="40"/>
              <w:left w:type="dxa" w:w="60"/>
              <w:bottom w:type="dxa" w:w="40"/>
              <w:right w:type="dxa" w:w="60"/>
            </w:tcMar>
          </w:tcPr>
          <w:p>
            <w:pPr>
              <w:spacing w:after="80" w:before="120"/>
              <w:jc w:val="center"/>
            </w:pPr>
            <w:r>
              <w:drawing>
                <wp:inline distT="0" distB="0" distL="0" distR="0">
                  <wp:extent cx="1905000" cy="1133475"/>
                  <wp:effectExtent t="0" r="0" b="0" l="0"/>
                  <wp:docPr id="1" name="用户注册页面.png" descr="用户注册页面.png" title="用户注册页面.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133475"/>
                          </a:xfrm>
                          <a:prstGeom prst="rect">
                            <a:avLst/>
                          </a:prstGeom>
                        </pic:spPr>
                      </pic:pic>
                    </a:graphicData>
                  </a:graphic>
                </wp:inline>
              </w:drawing>
            </w:r>
          </w:p>
          <w:p>
            <w:pPr>
              <w:spacing w:after="160"/>
              <w:jc w:val="center"/>
            </w:pPr>
            <w:r>
              <w:rPr>
                <w:i/>
                <w:iCs/>
                <w:sz w:val="20"/>
                <w:szCs w:val="20"/>
              </w:rPr>
              <w:t xml:space="preserve">图7 注册与偏好选择（缓解冷启动）</w:t>
            </w:r>
          </w:p>
        </w:tc>
        <w:tc>
          <w:tcPr>
            <w:tcW w:type="dxa" w:w="4513"/>
            <w:tcBorders>
              <w:top w:val="single" w:color="BFBFBF" w:sz="2"/>
              <w:left w:val="single" w:color="BFBFBF" w:sz="2"/>
              <w:bottom w:val="single" w:color="BFBFBF" w:sz="2"/>
              <w:right w:val="single" w:color="BFBFBF" w:sz="2"/>
            </w:tcBorders>
            <w:tcMar>
              <w:top w:type="dxa" w:w="40"/>
              <w:left w:type="dxa" w:w="60"/>
              <w:bottom w:type="dxa" w:w="40"/>
              <w:right w:type="dxa" w:w="60"/>
            </w:tcMar>
          </w:tcPr>
          <w:p>
            <w:pPr>
              <w:spacing w:after="80" w:before="120"/>
              <w:jc w:val="center"/>
            </w:pPr>
            <w:r>
              <w:drawing>
                <wp:inline distT="0" distB="0" distL="0" distR="0">
                  <wp:extent cx="1905000" cy="2857500"/>
                  <wp:effectExtent t="0" r="0" b="0" l="0"/>
                  <wp:docPr id="1" name="用户界面首页截图.png" descr="用户界面首页截图.png" title="用户界面首页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2857500"/>
                          </a:xfrm>
                          <a:prstGeom prst="rect">
                            <a:avLst/>
                          </a:prstGeom>
                        </pic:spPr>
                      </pic:pic>
                    </a:graphicData>
                  </a:graphic>
                </wp:inline>
              </w:drawing>
            </w:r>
          </w:p>
          <w:p>
            <w:pPr>
              <w:spacing w:after="160"/>
              <w:jc w:val="center"/>
            </w:pPr>
            <w:r>
              <w:rPr>
                <w:i/>
                <w:iCs/>
                <w:sz w:val="20"/>
                <w:szCs w:val="20"/>
              </w:rPr>
              <w:t xml:space="preserve">图8 用户端首页</w:t>
            </w:r>
          </w:p>
        </w:tc>
      </w:tr>
      <w:tr>
        <w:tc>
          <w:tcPr>
            <w:tcW w:type="dxa" w:w="4513"/>
            <w:tcBorders>
              <w:top w:val="single" w:color="BFBFBF" w:sz="2"/>
              <w:left w:val="single" w:color="BFBFBF" w:sz="2"/>
              <w:bottom w:val="single" w:color="BFBFBF" w:sz="2"/>
              <w:right w:val="single" w:color="BFBFBF" w:sz="2"/>
            </w:tcBorders>
            <w:tcMar>
              <w:top w:type="dxa" w:w="40"/>
              <w:left w:type="dxa" w:w="60"/>
              <w:bottom w:type="dxa" w:w="40"/>
              <w:right w:type="dxa" w:w="60"/>
            </w:tcMar>
          </w:tcPr>
          <w:p>
            <w:pPr>
              <w:spacing w:after="80" w:before="120"/>
              <w:jc w:val="center"/>
            </w:pPr>
            <w:r>
              <w:drawing>
                <wp:inline distT="0" distB="0" distL="0" distR="0">
                  <wp:extent cx="1905000" cy="3810000"/>
                  <wp:effectExtent t="0" r="0" b="0" l="0"/>
                  <wp:docPr id="1" name="用户界面电影库截图.png" descr="用户界面电影库截图.png" title="用户界面电影库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3810000"/>
                          </a:xfrm>
                          <a:prstGeom prst="rect">
                            <a:avLst/>
                          </a:prstGeom>
                        </pic:spPr>
                      </pic:pic>
                    </a:graphicData>
                  </a:graphic>
                </wp:inline>
              </w:drawing>
            </w:r>
          </w:p>
          <w:p>
            <w:pPr>
              <w:spacing w:after="160"/>
              <w:jc w:val="center"/>
            </w:pPr>
            <w:r>
              <w:rPr>
                <w:i/>
                <w:iCs/>
                <w:sz w:val="20"/>
                <w:szCs w:val="20"/>
              </w:rPr>
              <w:t xml:space="preserve">图9 电影库（海报+筛选）</w:t>
            </w:r>
          </w:p>
        </w:tc>
        <w:tc>
          <w:tcPr>
            <w:tcW w:type="dxa" w:w="4513"/>
            <w:tcBorders>
              <w:top w:val="single" w:color="BFBFBF" w:sz="2"/>
              <w:left w:val="single" w:color="BFBFBF" w:sz="2"/>
              <w:bottom w:val="single" w:color="BFBFBF" w:sz="2"/>
              <w:right w:val="single" w:color="BFBFBF" w:sz="2"/>
            </w:tcBorders>
            <w:tcMar>
              <w:top w:type="dxa" w:w="40"/>
              <w:left w:type="dxa" w:w="60"/>
              <w:bottom w:type="dxa" w:w="40"/>
              <w:right w:type="dxa" w:w="60"/>
            </w:tcMar>
          </w:tcPr>
          <w:p>
            <w:pPr>
              <w:spacing w:after="80" w:before="120"/>
              <w:jc w:val="center"/>
            </w:pPr>
            <w:r>
              <w:drawing>
                <wp:inline distT="0" distB="0" distL="0" distR="0">
                  <wp:extent cx="1905000" cy="3048000"/>
                  <wp:effectExtent t="0" r="0" b="0" l="0"/>
                  <wp:docPr id="1" name="用户界面为你推荐页面截图.png" descr="用户界面为你推荐页面截图.png" title="用户界面为你推荐页面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3048000"/>
                          </a:xfrm>
                          <a:prstGeom prst="rect">
                            <a:avLst/>
                          </a:prstGeom>
                        </pic:spPr>
                      </pic:pic>
                    </a:graphicData>
                  </a:graphic>
                </wp:inline>
              </w:drawing>
            </w:r>
          </w:p>
          <w:p>
            <w:pPr>
              <w:spacing w:after="160"/>
              <w:jc w:val="center"/>
            </w:pPr>
            <w:r>
              <w:rPr>
                <w:i/>
                <w:iCs/>
                <w:sz w:val="20"/>
                <w:szCs w:val="20"/>
              </w:rPr>
              <w:t xml:space="preserve">图10 个性化推荐结果</w:t>
            </w:r>
          </w:p>
        </w:tc>
      </w:tr>
      <w:tr>
        <w:tc>
          <w:tcPr>
            <w:tcW w:type="dxa" w:w="4513"/>
            <w:tcBorders>
              <w:top w:val="single" w:color="BFBFBF" w:sz="2"/>
              <w:left w:val="single" w:color="BFBFBF" w:sz="2"/>
              <w:bottom w:val="single" w:color="BFBFBF" w:sz="2"/>
              <w:right w:val="single" w:color="BFBFBF" w:sz="2"/>
            </w:tcBorders>
            <w:tcMar>
              <w:top w:type="dxa" w:w="40"/>
              <w:left w:type="dxa" w:w="60"/>
              <w:bottom w:type="dxa" w:w="40"/>
              <w:right w:type="dxa" w:w="60"/>
            </w:tcMar>
          </w:tcPr>
          <w:p>
            <w:pPr>
              <w:spacing w:after="80" w:before="120"/>
              <w:jc w:val="center"/>
            </w:pPr>
            <w:r>
              <w:drawing>
                <wp:inline distT="0" distB="0" distL="0" distR="0">
                  <wp:extent cx="1905000" cy="5715000"/>
                  <wp:effectExtent t="0" r="0" b="0" l="0"/>
                  <wp:docPr id="1" name="用户我的画像界面截图.png" descr="用户我的画像界面截图.png" title="用户我的画像界面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5715000"/>
                          </a:xfrm>
                          <a:prstGeom prst="rect">
                            <a:avLst/>
                          </a:prstGeom>
                        </pic:spPr>
                      </pic:pic>
                    </a:graphicData>
                  </a:graphic>
                </wp:inline>
              </w:drawing>
            </w:r>
          </w:p>
          <w:p>
            <w:pPr>
              <w:spacing w:after="160"/>
              <w:jc w:val="center"/>
            </w:pPr>
            <w:r>
              <w:rPr>
                <w:i/>
                <w:iCs/>
                <w:sz w:val="20"/>
                <w:szCs w:val="20"/>
              </w:rPr>
              <w:t xml:space="preserve">图11 我的画像</w:t>
            </w:r>
          </w:p>
        </w:tc>
        <w:tc>
          <w:tcPr>
            <w:tcW w:type="dxa" w:w="4513"/>
            <w:tcBorders>
              <w:top w:val="single" w:color="BFBFBF" w:sz="2"/>
              <w:left w:val="single" w:color="BFBFBF" w:sz="2"/>
              <w:bottom w:val="single" w:color="BFBFBF" w:sz="2"/>
              <w:right w:val="single" w:color="BFBFBF" w:sz="2"/>
            </w:tcBorders>
            <w:tcMar>
              <w:top w:type="dxa" w:w="40"/>
              <w:left w:type="dxa" w:w="60"/>
              <w:bottom w:type="dxa" w:w="40"/>
              <w:right w:type="dxa" w:w="60"/>
            </w:tcMar>
          </w:tcPr>
          <w:p>
            <w:pPr>
              <w:spacing w:after="80" w:before="120"/>
              <w:jc w:val="center"/>
            </w:pPr>
            <w:r>
              <w:drawing>
                <wp:inline distT="0" distB="0" distL="0" distR="0">
                  <wp:extent cx="1905000" cy="2857500"/>
                  <wp:effectExtent t="0" r="0" b="0" l="0"/>
                  <wp:docPr id="1" name="用户界面电影库数据可视化界面截图.png" descr="用户界面电影库数据可视化界面截图.png" title="用户界面电影库数据可视化界面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2857500"/>
                          </a:xfrm>
                          <a:prstGeom prst="rect">
                            <a:avLst/>
                          </a:prstGeom>
                        </pic:spPr>
                      </pic:pic>
                    </a:graphicData>
                  </a:graphic>
                </wp:inline>
              </w:drawing>
            </w:r>
          </w:p>
          <w:p>
            <w:pPr>
              <w:spacing w:after="160"/>
              <w:jc w:val="center"/>
            </w:pPr>
            <w:r>
              <w:rPr>
                <w:i/>
                <w:iCs/>
                <w:sz w:val="20"/>
                <w:szCs w:val="20"/>
              </w:rPr>
              <w:t xml:space="preserve">图12 数据可视化</w:t>
            </w:r>
          </w:p>
        </w:tc>
      </w:tr>
      <w:tr>
        <w:tc>
          <w:tcPr>
            <w:tcW w:type="dxa" w:w="4513"/>
            <w:tcBorders>
              <w:top w:val="single" w:color="BFBFBF" w:sz="2"/>
              <w:left w:val="single" w:color="BFBFBF" w:sz="2"/>
              <w:bottom w:val="single" w:color="BFBFBF" w:sz="2"/>
              <w:right w:val="single" w:color="BFBFBF" w:sz="2"/>
            </w:tcBorders>
            <w:tcMar>
              <w:top w:type="dxa" w:w="40"/>
              <w:left w:type="dxa" w:w="60"/>
              <w:bottom w:type="dxa" w:w="40"/>
              <w:right w:type="dxa" w:w="60"/>
            </w:tcMar>
          </w:tcPr>
          <w:p>
            <w:pPr>
              <w:spacing w:after="80" w:before="120"/>
              <w:jc w:val="center"/>
            </w:pPr>
            <w:r>
              <w:drawing>
                <wp:inline distT="0" distB="0" distL="0" distR="0">
                  <wp:extent cx="1905000" cy="2390775"/>
                  <wp:effectExtent t="0" r="0" b="0" l="0"/>
                  <wp:docPr id="1" name="管理员首页截图.png" descr="管理员首页截图.png" title="管理员首页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2390775"/>
                          </a:xfrm>
                          <a:prstGeom prst="rect">
                            <a:avLst/>
                          </a:prstGeom>
                        </pic:spPr>
                      </pic:pic>
                    </a:graphicData>
                  </a:graphic>
                </wp:inline>
              </w:drawing>
            </w:r>
          </w:p>
          <w:p>
            <w:pPr>
              <w:spacing w:after="160"/>
              <w:jc w:val="center"/>
            </w:pPr>
            <w:r>
              <w:rPr>
                <w:i/>
                <w:iCs/>
                <w:sz w:val="20"/>
                <w:szCs w:val="20"/>
              </w:rPr>
              <w:t xml:space="preserve">图13 管理员后台首页</w:t>
            </w:r>
          </w:p>
        </w:tc>
        <w:tc>
          <w:tcPr>
            <w:tcW w:type="dxa" w:w="4513"/>
            <w:tcBorders>
              <w:top w:val="single" w:color="BFBFBF" w:sz="2"/>
              <w:left w:val="single" w:color="BFBFBF" w:sz="2"/>
              <w:bottom w:val="single" w:color="BFBFBF" w:sz="2"/>
              <w:right w:val="single" w:color="BFBFBF" w:sz="2"/>
            </w:tcBorders>
            <w:tcMar>
              <w:top w:type="dxa" w:w="40"/>
              <w:left w:type="dxa" w:w="60"/>
              <w:bottom w:type="dxa" w:w="40"/>
              <w:right w:type="dxa" w:w="60"/>
            </w:tcMar>
          </w:tcPr>
          <w:p>
            <w:pPr>
              <w:spacing w:after="80" w:before="120"/>
              <w:jc w:val="center"/>
            </w:pPr>
            <w:r>
              <w:drawing>
                <wp:inline distT="0" distB="0" distL="0" distR="0">
                  <wp:extent cx="1905000" cy="2667000"/>
                  <wp:effectExtent t="0" r="0" b="0" l="0"/>
                  <wp:docPr id="1" name="管理员模型评估页面截图.png" descr="管理员模型评估页面截图.png" title="管理员模型评估页面截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2667000"/>
                          </a:xfrm>
                          <a:prstGeom prst="rect">
                            <a:avLst/>
                          </a:prstGeom>
                        </pic:spPr>
                      </pic:pic>
                    </a:graphicData>
                  </a:graphic>
                </wp:inline>
              </w:drawing>
            </w:r>
          </w:p>
          <w:p>
            <w:pPr>
              <w:spacing w:after="160"/>
              <w:jc w:val="center"/>
            </w:pPr>
            <w:r>
              <w:rPr>
                <w:i/>
                <w:iCs/>
                <w:sz w:val="20"/>
                <w:szCs w:val="20"/>
              </w:rPr>
              <w:t xml:space="preserve">图14 管理员端模型评估</w:t>
            </w:r>
          </w:p>
        </w:tc>
      </w:tr>
    </w:tbl>
    <w:p>
      <w:pPr>
        <w:pStyle w:val="Heading1"/>
        <w:spacing w:after="100" w:before="160"/>
      </w:pPr>
      <w:r>
        <w:rPr>
          <w:sz w:val="28"/>
          <w:szCs w:val="28"/>
        </w:rPr>
        <w:t xml:space="preserve">六、团队分工与反思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791"/>
        <w:gridCol w:w="1625"/>
        <w:gridCol w:w="1625"/>
      </w:tblGrid>
      <w:tr>
        <w:trPr>
          <w:tblHeader/>
        </w:trPr>
        <w:tc>
          <w:tcPr>
            <w:tcW w:type="dxa" w:w="1986"/>
            <w:tcBorders>
              <w:top w:val="single" w:color="BFBFBF" w:sz="2"/>
              <w:left w:val="single" w:color="BFBFBF" w:sz="2"/>
              <w:bottom w:val="single" w:color="BFBFBF" w:sz="2"/>
              <w:right w:val="single" w:color="BFBFBF" w:sz="2"/>
            </w:tcBorders>
            <w:shd w:fill="DDEBF7" w:val="clear"/>
            <w:tcMar>
              <w:top w:type="dxa" w:w="60"/>
              <w:left w:type="dxa" w:w="100"/>
              <w:bottom w:type="dxa" w:w="60"/>
              <w:right w:type="dxa" w:w="100"/>
            </w:tcMar>
          </w:tcPr>
          <w:p>
            <w:r>
              <w:rPr>
                <w:b/>
                <w:bCs/>
                <w:sz w:val="20"/>
                <w:szCs w:val="20"/>
              </w:rPr>
              <w:t xml:space="preserve">工作模块</w:t>
            </w:r>
          </w:p>
        </w:tc>
        <w:tc>
          <w:tcPr>
            <w:tcW w:type="dxa" w:w="3791"/>
            <w:tcBorders>
              <w:top w:val="single" w:color="BFBFBF" w:sz="2"/>
              <w:left w:val="single" w:color="BFBFBF" w:sz="2"/>
              <w:bottom w:val="single" w:color="BFBFBF" w:sz="2"/>
              <w:right w:val="single" w:color="BFBFBF" w:sz="2"/>
            </w:tcBorders>
            <w:shd w:fill="DDEBF7" w:val="clear"/>
            <w:tcMar>
              <w:top w:type="dxa" w:w="60"/>
              <w:left w:type="dxa" w:w="100"/>
              <w:bottom w:type="dxa" w:w="60"/>
              <w:right w:type="dxa" w:w="100"/>
            </w:tcMar>
          </w:tcPr>
          <w:p>
            <w:r>
              <w:rPr>
                <w:b/>
                <w:bCs/>
                <w:sz w:val="20"/>
                <w:szCs w:val="20"/>
              </w:rPr>
              <w:t xml:space="preserve">主要内容</w:t>
            </w:r>
          </w:p>
        </w:tc>
        <w:tc>
          <w:tcPr>
            <w:tcW w:type="dxa" w:w="1625"/>
            <w:tcBorders>
              <w:top w:val="single" w:color="BFBFBF" w:sz="2"/>
              <w:left w:val="single" w:color="BFBFBF" w:sz="2"/>
              <w:bottom w:val="single" w:color="BFBFBF" w:sz="2"/>
              <w:right w:val="single" w:color="BFBFBF" w:sz="2"/>
            </w:tcBorders>
            <w:shd w:fill="DDEBF7" w:val="clear"/>
            <w:tcMar>
              <w:top w:type="dxa" w:w="60"/>
              <w:left w:type="dxa" w:w="100"/>
              <w:bottom w:type="dxa" w:w="60"/>
              <w:right w:type="dxa" w:w="100"/>
            </w:tcMar>
          </w:tcPr>
          <w:p>
            <w:r>
              <w:rPr>
                <w:b/>
                <w:bCs/>
                <w:sz w:val="20"/>
                <w:szCs w:val="20"/>
              </w:rPr>
              <w:t xml:space="preserve">负责人</w:t>
            </w:r>
          </w:p>
        </w:tc>
        <w:tc>
          <w:tcPr>
            <w:tcW w:type="dxa" w:w="1625"/>
            <w:tcBorders>
              <w:top w:val="single" w:color="BFBFBF" w:sz="2"/>
              <w:left w:val="single" w:color="BFBFBF" w:sz="2"/>
              <w:bottom w:val="single" w:color="BFBFBF" w:sz="2"/>
              <w:right w:val="single" w:color="BFBFBF" w:sz="2"/>
            </w:tcBorders>
            <w:shd w:fill="DDEBF7" w:val="clear"/>
            <w:tcMar>
              <w:top w:type="dxa" w:w="60"/>
              <w:left w:type="dxa" w:w="100"/>
              <w:bottom w:type="dxa" w:w="60"/>
              <w:right w:type="dxa" w:w="100"/>
            </w:tcMar>
          </w:tcPr>
          <w:p>
            <w:r>
              <w:rPr>
                <w:b/>
                <w:bCs/>
                <w:sz w:val="20"/>
                <w:szCs w:val="20"/>
              </w:rPr>
              <w:t xml:space="preserve">工作量占比</w:t>
            </w:r>
          </w:p>
        </w:tc>
      </w:tr>
      <w:tr>
        <w:trPr>
          <w:tblHeader w:val="false"/>
        </w:trPr>
        <w:tc>
          <w:tcPr>
            <w:tcW w:type="dxa" w:w="198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数据处理与清洗</w:t>
            </w:r>
          </w:p>
        </w:tc>
        <w:tc>
          <w:tcPr>
            <w:tcW w:type="dxa" w:w="379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数据加载、清洗、特征预处理、训练/测试集划分</w:t>
            </w:r>
          </w:p>
        </w:tc>
        <w:tc>
          <w:tcPr>
            <w:tcW w:type="dxa" w:w="1625"/>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【姓名】</w:t>
            </w:r>
          </w:p>
        </w:tc>
        <w:tc>
          <w:tcPr>
            <w:tcW w:type="dxa" w:w="1625"/>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【占比】</w:t>
            </w:r>
          </w:p>
        </w:tc>
      </w:tr>
      <w:tr>
        <w:trPr>
          <w:tblHeader w:val="false"/>
        </w:trPr>
        <w:tc>
          <w:tcPr>
            <w:tcW w:type="dxa" w:w="198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推荐算法实现</w:t>
            </w:r>
          </w:p>
        </w:tc>
        <w:tc>
          <w:tcPr>
            <w:tcW w:type="dxa" w:w="379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基线、UserCF、ItemCF、SVD、Hybrid 模型实现</w:t>
            </w:r>
          </w:p>
        </w:tc>
        <w:tc>
          <w:tcPr>
            <w:tcW w:type="dxa" w:w="1625"/>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【姓名】</w:t>
            </w:r>
          </w:p>
        </w:tc>
        <w:tc>
          <w:tcPr>
            <w:tcW w:type="dxa" w:w="1625"/>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【占比】</w:t>
            </w:r>
          </w:p>
        </w:tc>
      </w:tr>
      <w:tr>
        <w:trPr>
          <w:tblHeader w:val="false"/>
        </w:trPr>
        <w:tc>
          <w:tcPr>
            <w:tcW w:type="dxa" w:w="198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评估与分析</w:t>
            </w:r>
          </w:p>
        </w:tc>
        <w:tc>
          <w:tcPr>
            <w:tcW w:type="dxa" w:w="379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评估指标、超参数敏感性分析、误差与冷启动分析</w:t>
            </w:r>
          </w:p>
        </w:tc>
        <w:tc>
          <w:tcPr>
            <w:tcW w:type="dxa" w:w="1625"/>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【姓名】</w:t>
            </w:r>
          </w:p>
        </w:tc>
        <w:tc>
          <w:tcPr>
            <w:tcW w:type="dxa" w:w="1625"/>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【占比】</w:t>
            </w:r>
          </w:p>
        </w:tc>
      </w:tr>
      <w:tr>
        <w:trPr>
          <w:tblHeader w:val="false"/>
        </w:trPr>
        <w:tc>
          <w:tcPr>
            <w:tcW w:type="dxa" w:w="198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Web 应用开发</w:t>
            </w:r>
          </w:p>
        </w:tc>
        <w:tc>
          <w:tcPr>
            <w:tcW w:type="dxa" w:w="379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Streamlit 用户端/管理员端、账号系统、数据库</w:t>
            </w:r>
          </w:p>
        </w:tc>
        <w:tc>
          <w:tcPr>
            <w:tcW w:type="dxa" w:w="1625"/>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【姓名】</w:t>
            </w:r>
          </w:p>
        </w:tc>
        <w:tc>
          <w:tcPr>
            <w:tcW w:type="dxa" w:w="1625"/>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【占比】</w:t>
            </w:r>
          </w:p>
        </w:tc>
      </w:tr>
      <w:tr>
        <w:trPr>
          <w:tblHeader w:val="false"/>
        </w:trPr>
        <w:tc>
          <w:tcPr>
            <w:tcW w:type="dxa" w:w="1986"/>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可视化与报告撰写</w:t>
            </w:r>
          </w:p>
        </w:tc>
        <w:tc>
          <w:tcPr>
            <w:tcW w:type="dxa" w:w="379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数据可视化、实验图表、报告撰写与排版</w:t>
            </w:r>
          </w:p>
        </w:tc>
        <w:tc>
          <w:tcPr>
            <w:tcW w:type="dxa" w:w="1625"/>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【姓名】</w:t>
            </w:r>
          </w:p>
        </w:tc>
        <w:tc>
          <w:tcPr>
            <w:tcW w:type="dxa" w:w="1625"/>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val="false"/>
                <w:bCs w:val="false"/>
                <w:sz w:val="20"/>
                <w:szCs w:val="20"/>
              </w:rPr>
              <w:t xml:space="preserve">【占比】</w:t>
            </w:r>
          </w:p>
        </w:tc>
      </w:tr>
    </w:tbl>
    <w:p>
      <w:pPr>
        <w:spacing w:after="60" w:before="0" w:line="276"/>
      </w:pPr>
      <w:r>
        <w:rPr>
          <w:sz w:val="22"/>
          <w:szCs w:val="22"/>
        </w:rPr>
        <w:t xml:space="preserve">项目反思：本项目较好地完成了从数据处理到模型评估再到系统实现的完整闭环，9 类模型与多维评估指标的对比设计是主要亮点，尤其在发现“流行度基线优于个性化模型”这一反直觉结果后，能基于评估协议本身分析原因而非回避。不足之处在于：受限于时间与数据集规模，未引入采样负例评估、NeuralCF 等更前沿方法做完整对比；Web 端的算法配置与模型评估仍停留在离线结果展示层面，未与在线推荐效果打通。后续将引入采样负例评估协议、尝试 ALS/SGD 矩阵分解与 NeuralCF 对比、在 Web 端引入用户实时反馈机制。</w:t>
      </w:r>
    </w:p>
    <w:p>
      <w:pPr>
        <w:spacing w:after="60" w:before="0" w:line="276"/>
      </w:pPr>
      <w:r>
        <w:rPr>
          <w:i/>
          <w:iCs/>
          <w:sz w:val="22"/>
          <w:szCs w:val="22"/>
        </w:rPr>
        <w:t xml:space="preserve">参考资料：MovieLens 100K 数据集（Harper &amp; Konstan, 2015，GroupLens）；Koren et al., 2009，Matrix Factorization Techniques for Recommender Systems；Cremonesi et al., 2010，Performance of Recommender Algorithms on Top-N Recommendation Tasks。</w:t>
      </w:r>
    </w:p>
    <w:p>
      <w:pPr>
        <w:pStyle w:val="Heading1"/>
        <w:spacing w:after="100" w:before="160"/>
      </w:pPr>
      <w:r>
        <w:rPr>
          <w:sz w:val="28"/>
          <w:szCs w:val="28"/>
        </w:rPr>
        <w:t xml:space="preserve">七、项目亮点</w:t>
      </w:r>
    </w:p>
    <w:p>
      <w:pPr>
        <w:pStyle w:val="ListParagraph"/>
        <w:numPr>
          <w:ilvl w:val="0"/>
          <w:numId w:val="2"/>
        </w:numPr>
        <w:spacing w:after="30" w:line="264"/>
      </w:pPr>
      <w:r>
        <w:rPr>
          <w:sz w:val="22"/>
          <w:szCs w:val="22"/>
        </w:rPr>
        <w:t xml:space="preserve">算法覆盖全面：完整实现并统一评估 9 类推荐模型（6 类基线 + UserCF + ItemCF + SVD + Hybrid），并非只做单一算法，便于横向对比不同范式的优劣。</w:t>
      </w:r>
    </w:p>
    <w:p>
      <w:pPr>
        <w:pStyle w:val="ListParagraph"/>
        <w:numPr>
          <w:ilvl w:val="0"/>
          <w:numId w:val="2"/>
        </w:numPr>
        <w:spacing w:after="30" w:line="264"/>
      </w:pPr>
      <w:r>
        <w:rPr>
          <w:sz w:val="22"/>
          <w:szCs w:val="22"/>
        </w:rPr>
        <w:t xml:space="preserve">评估体系完整：同时覆盖评分预测（RMSE/MAE）与 Top-N 排序（Precision@K/Recall@K/HitRate@K/NDCG@K）及覆盖率/多样性，并对 reg、K_NEIGHBORS、n_components 等关键超参数做了系统的敏感性分析。</w:t>
      </w:r>
    </w:p>
    <w:p>
      <w:pPr>
        <w:pStyle w:val="ListParagraph"/>
        <w:numPr>
          <w:ilvl w:val="0"/>
          <w:numId w:val="2"/>
        </w:numPr>
        <w:spacing w:after="30" w:line="264"/>
      </w:pPr>
      <w:r>
        <w:rPr>
          <w:sz w:val="22"/>
          <w:szCs w:val="22"/>
        </w:rPr>
        <w:t xml:space="preserve">敢于呈现“反直觉”结果并深入分析：在发现流行度基线在 Top-N 指标上优于个性化模型后，没有回避或选择性展示，而是从离线全目录评估协议本身（“未评分”被当作“不相关”）找到根因，体现了严谨的科研态度。</w:t>
      </w:r>
    </w:p>
    <w:p>
      <w:pPr>
        <w:pStyle w:val="ListParagraph"/>
        <w:numPr>
          <w:ilvl w:val="0"/>
          <w:numId w:val="2"/>
        </w:numPr>
        <w:spacing w:after="30" w:line="264"/>
      </w:pPr>
      <w:r>
        <w:rPr>
          <w:sz w:val="22"/>
          <w:szCs w:val="22"/>
        </w:rPr>
        <w:t xml:space="preserve">完整的端到端系统实现：基于 Streamlit + SQLite 落地为可运行的 FilmTrace Web 应用，用户端与管理员端共 16 项功能，覆盖账号体系、偏好选择、推荐、评分收藏、用户画像、数据可视化与后台管理，而不仅是离线 notebook 实验。</w:t>
      </w:r>
    </w:p>
    <w:p>
      <w:pPr>
        <w:pStyle w:val="ListParagraph"/>
        <w:numPr>
          <w:ilvl w:val="0"/>
          <w:numId w:val="2"/>
        </w:numPr>
        <w:spacing w:after="30" w:line="264"/>
      </w:pPr>
      <w:r>
        <w:rPr>
          <w:sz w:val="22"/>
          <w:szCs w:val="22"/>
        </w:rPr>
        <w:t xml:space="preserve">对冷启动问题有针对性设计：通过注册时的“偏好类型选择”与元数据 Hybrid 模型为新用户生成初始推荐，将算法层的局限转化为产品层的可用方案。</w:t>
      </w:r>
    </w:p>
    <w:p>
      <w:pPr>
        <w:pStyle w:val="ListParagraph"/>
        <w:numPr>
          <w:ilvl w:val="0"/>
          <w:numId w:val="2"/>
        </w:numPr>
        <w:spacing w:after="30" w:line="264"/>
      </w:pPr>
      <w:r>
        <w:rPr>
          <w:sz w:val="22"/>
          <w:szCs w:val="22"/>
        </w:rPr>
        <w:t xml:space="preserve">可复现性高：全流程固定 random_state=42，提供已执行完成的 notebook（01_movielens_recommendation_executed.ipynb）作为结果复现依据，所有结论均可一键验证。</w:t>
      </w:r>
    </w:p>
    <w:sectPr>
      <w:pgSz w:w="11906" w:h="16838" w:orient="portrait"/>
      <w:pgMar w:top="1080" w:right="1134" w:bottom="108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160"/>
      <w:outlineLvl w:val="0"/>
    </w:pPr>
    <w:rPr>
      <w:rFonts w:ascii="SimHei" w:cs="SimHei" w:eastAsia="SimHei" w:hAnsi="SimHei"/>
      <w:b/>
      <w:bCs/>
      <w:sz w:val="28"/>
      <w:szCs w:val="28"/>
    </w:rPr>
  </w:style>
  <w:style w:type="paragraph" w:styleId="Heading2">
    <w:name w:val="Heading 2"/>
    <w:basedOn w:val="Normal"/>
    <w:next w:val="Normal"/>
    <w:qFormat/>
    <w:pPr>
      <w:spacing w:after="60" w:before="100"/>
      <w:outlineLvl w:val="1"/>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6056ab8bf3082fb4d2059df3ed2df66ef48216.png"/><Relationship Id="rId8" Type="http://schemas.openxmlformats.org/officeDocument/2006/relationships/image" Target="media/2f342585f0e4d3252e321710f1769c7e7b30d3c6.png"/><Relationship Id="rId9" Type="http://schemas.openxmlformats.org/officeDocument/2006/relationships/image" Target="media/b9955a4ef138968d63cc2630efc03b2813cb8166.png"/><Relationship Id="rId10" Type="http://schemas.openxmlformats.org/officeDocument/2006/relationships/image" Target="media/74c611abd40988cfe1578411e196ed3b7f677a95.png"/><Relationship Id="rId11" Type="http://schemas.openxmlformats.org/officeDocument/2006/relationships/image" Target="media/769ebcd39cfb7e0a3916a815daf88c954a71fc2f.png"/><Relationship Id="rId12" Type="http://schemas.openxmlformats.org/officeDocument/2006/relationships/image" Target="media/0aec7305ef4241b0b3973a6d4ed7f833b712e354.png"/><Relationship Id="rId13" Type="http://schemas.openxmlformats.org/officeDocument/2006/relationships/image" Target="media/4fc9f7788f12365f46cdeeb3e0a60981f7880a1f.png"/><Relationship Id="rId14" Type="http://schemas.openxmlformats.org/officeDocument/2006/relationships/image" Target="media/1dc7355ecd11df9af9ecc63e351cce20e6e8108c.png"/><Relationship Id="rId15" Type="http://schemas.openxmlformats.org/officeDocument/2006/relationships/image" Target="media/2d3504ec7a8a501dd2da9e6497b71f49e4c9bbe8.png"/><Relationship Id="rId16" Type="http://schemas.openxmlformats.org/officeDocument/2006/relationships/image" Target="media/25f764e8354c1250ec5af232e2cf91873a24f1ba.png"/><Relationship Id="rId17" Type="http://schemas.openxmlformats.org/officeDocument/2006/relationships/image" Target="media/cfc9e074cd4d58a3303a7b8edcf607baed953241.png"/><Relationship Id="rId18" Type="http://schemas.openxmlformats.org/officeDocument/2006/relationships/image" Target="media/3cc4b1ded00c3ca4e4779373019aaa28ac74c9f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2026-06-13T08:14:45.156Z</dcterms:created>
  <dcterms:modified xsi:type="dcterms:W3CDTF">2026-06-13T08:14:45.163Z</dcterms:modified>
</cp:coreProperties>
</file>

<file path=docProps/custom.xml><?xml version="1.0" encoding="utf-8"?>
<Properties xmlns="http://schemas.openxmlformats.org/officeDocument/2006/custom-properties" xmlns:vt="http://schemas.openxmlformats.org/officeDocument/2006/docPropsVTypes"/>
</file>