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32"/>
        </w:rPr>
        <w:t>AY2025 Trimester 3 — AN6105 Causal Inference</w:t>
      </w:r>
    </w:p>
    <w:p>
      <w:pPr>
        <w:jc w:val="center"/>
      </w:pPr>
      <w:r>
        <w:rPr>
          <w:b/>
          <w:sz w:val="28"/>
        </w:rPr>
        <w:t>Graded Individual Assignment</w:t>
      </w:r>
    </w:p>
    <w:p/>
    <w:tbl>
      <w:tblPr>
        <w:tblStyle w:val="TableGrid"/>
        <w:tblW w:type="auto" w:w="0"/>
        <w:tblLook w:firstColumn="1" w:firstRow="1" w:lastColumn="0" w:lastRow="0" w:noHBand="0" w:noVBand="1" w:val="04A0"/>
      </w:tblPr>
      <w:tblGrid>
        <w:gridCol w:w="4514"/>
        <w:gridCol w:w="4514"/>
      </w:tblGrid>
      <w:tr>
        <w:tc>
          <w:tcPr>
            <w:tcW w:type="dxa" w:w="4514"/>
            <w:shd w:val="clear" w:color="auto" w:fill="DEEAF1"/>
          </w:tcPr>
          <w:p>
            <w:r>
              <w:rPr>
                <w:b/>
              </w:rPr>
              <w:t>Name:</w:t>
            </w:r>
          </w:p>
        </w:tc>
        <w:tc>
          <w:tcPr>
            <w:tcW w:type="dxa" w:w="4514"/>
          </w:tcPr>
          <w:p>
            <w:r>
              <w:t>[Student Name]</w:t>
            </w:r>
          </w:p>
        </w:tc>
      </w:tr>
      <w:tr>
        <w:tc>
          <w:tcPr>
            <w:tcW w:type="dxa" w:w="4514"/>
            <w:shd w:val="clear" w:color="auto" w:fill="DEEAF1"/>
          </w:tcPr>
          <w:p>
            <w:r>
              <w:rPr>
                <w:b/>
              </w:rPr>
              <w:t>Student ID:</w:t>
            </w:r>
          </w:p>
        </w:tc>
        <w:tc>
          <w:tcPr>
            <w:tcW w:type="dxa" w:w="4514"/>
          </w:tcPr>
          <w:p>
            <w:r>
              <w:t>[Student ID]</w:t>
            </w:r>
          </w:p>
        </w:tc>
      </w:tr>
      <w:tr>
        <w:tc>
          <w:tcPr>
            <w:tcW w:type="dxa" w:w="4514"/>
            <w:shd w:val="clear" w:color="auto" w:fill="DEEAF1"/>
          </w:tcPr>
          <w:p>
            <w:r>
              <w:rPr>
                <w:b/>
              </w:rPr>
              <w:t>Programme:</w:t>
            </w:r>
          </w:p>
        </w:tc>
        <w:tc>
          <w:tcPr>
            <w:tcW w:type="dxa" w:w="4514"/>
          </w:tcPr>
          <w:p>
            <w:r>
              <w:t>[Programme]</w:t>
            </w:r>
          </w:p>
        </w:tc>
      </w:tr>
      <w:tr>
        <w:tc>
          <w:tcPr>
            <w:tcW w:type="dxa" w:w="4514"/>
            <w:shd w:val="clear" w:color="auto" w:fill="DEEAF1"/>
          </w:tcPr>
          <w:p>
            <w:r>
              <w:rPr>
                <w:b/>
              </w:rPr>
              <w:t>Date:</w:t>
            </w:r>
          </w:p>
        </w:tc>
        <w:tc>
          <w:tcPr>
            <w:tcW w:type="dxa" w:w="4514"/>
          </w:tcPr>
          <w:p>
            <w:r>
              <w:t>28 May 2026</w:t>
            </w:r>
          </w:p>
        </w:tc>
      </w:tr>
    </w:tbl>
    <w:p/>
    <w:p>
      <w:pPr>
        <w:jc w:val="center"/>
      </w:pPr>
      <w:r>
        <w:rPr>
          <w:b/>
          <w:sz w:val="24"/>
        </w:rPr>
        <w:t>Declaration of Academic Integrity</w:t>
      </w:r>
    </w:p>
    <w:p>
      <w:pPr>
        <w:spacing w:before="120"/>
      </w:pPr>
      <w:r>
        <w:t>I declare that this assignment is my own work. Where I have used the work or opinions of others (including Generative AI tools such as Claude), I have properly quoted and cited the sources. I have not submitted this work, in whole or in part, for any other course or assessment.</w:t>
      </w:r>
    </w:p>
    <w:p>
      <w:r>
        <w:t>Signature: ___________________________    Date: 28 May 2026</w:t>
      </w:r>
    </w:p>
    <w:p>
      <w:r>
        <w:br w:type="page"/>
      </w:r>
    </w:p>
    <w:p>
      <w:pPr>
        <w:pStyle w:val="Heading1"/>
      </w:pPr>
      <w:r>
        <w:t>Declaration on Use of Generative AI (GAI)</w:t>
      </w:r>
    </w:p>
    <w:p>
      <w:r>
        <w:t>Generative AI (Claude, Anthropic) was used to assist in: (1) writing and debugging R analysis code (AN6105_Diabetes_Analysis.R); (2) structuring and drafting written answers. All analytical decisions, interpretations, and conclusions are the author's own. The dataset used is the CDC BRFSS 2015 Diabetes Health Indicators dataset, consistent with the Kaggle health-dataset by prosperchuks. GAI was NOT used to upload or analyse the raw data directly. Software used: R 4.3.3 with packages tidyverse, ggplot2, patchwork, MatchIt.</w:t>
      </w:r>
    </w:p>
    <w:p>
      <w:r>
        <w:br w:type="page"/>
      </w:r>
    </w:p>
    <w:p>
      <w:pPr>
        <w:pStyle w:val="Heading1"/>
      </w:pPr>
      <w:r>
        <w:t>Part A: Causal Inference on Diabetes</w:t>
      </w:r>
    </w:p>
    <w:p>
      <w:r>
        <w:br w:type="page"/>
      </w:r>
    </w:p>
    <w:p>
      <w:pPr>
        <w:pStyle w:val="Heading2"/>
      </w:pPr>
      <w:r>
        <w:t>Question 1: Data Exploration — Three Key Findings</w:t>
      </w:r>
    </w:p>
    <w:p>
      <w:r>
        <w:rPr>
          <w:b w:val="0"/>
          <w:i w:val="0"/>
          <w:sz w:val="22"/>
        </w:rPr>
        <w:t>The dataset (diabetes_data.csv from the CDC Behavioural Risk Factor Surveillance System, BRFSS 2015) contains 70,692 observations and 22 binary/ordinal variables including the binary outcome Diabetes (1 = diabetic, 0 = non-diabetic). The dataset is balanced (50 % diabetic). Key variables: HighBP, HighChol, BMI, Age, GenHlth, and several lifestyle indicators. No missing values were found. All analysis was conducted in R 4.3.3 (script: AN6105_Diabetes_Analysis.R).</w:t>
      </w:r>
    </w:p>
    <w:p/>
    <w:p>
      <w:r>
        <w:rPr>
          <w:b/>
        </w:rPr>
        <w:t>Figure 1: Exploratory Data Analysis</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fig1_eda.png"/>
                    <pic:cNvPicPr/>
                  </pic:nvPicPr>
                  <pic:blipFill>
                    <a:blip r:embed="rId9"/>
                    <a:stretch>
                      <a:fillRect/>
                    </a:stretch>
                  </pic:blipFill>
                  <pic:spPr>
                    <a:xfrm>
                      <a:off x="0" y="0"/>
                      <a:ext cx="5669280" cy="3543300"/>
                    </a:xfrm>
                    <a:prstGeom prst="rect"/>
                  </pic:spPr>
                </pic:pic>
              </a:graphicData>
            </a:graphic>
          </wp:inline>
        </w:drawing>
      </w:r>
    </w:p>
    <w:p/>
    <w:p>
      <w:pPr>
        <w:pStyle w:val="Heading3"/>
      </w:pPr>
      <w:r>
        <w:t>Finding 1: Cardiovascular and Metabolic Risk Factors Are Markedly More Prevalent among Diabetics</w:t>
      </w:r>
    </w:p>
    <w:p>
      <w:r>
        <w:rPr>
          <w:b w:val="0"/>
          <w:i w:val="0"/>
          <w:sz w:val="22"/>
        </w:rPr>
        <w:t>As shown in Figure 1(b), the prevalence of High Blood Pressure (HighBP) is 75.3 % among diabetics vs. 37.4 % among non-diabetics — a 2.0× difference. High Cholesterol (HighChol) is 67.0 % vs. 38.1 %, heart disease / heart attack is 22.3 % vs. 7.3 %, and difficulty walking (DiffWalk) is 37.1 % vs. 13.4 %. In contrast, physical activity (PhysActivity) is lower in diabetics (63.1 % vs. 77.6 %). These patterns suggest that diabetes co-occurs with a cluster of cardiovascular risk factors, and that physical inactivity is a likely contributor.</w:t>
      </w:r>
    </w:p>
    <w:p>
      <w:pPr>
        <w:pStyle w:val="Heading3"/>
      </w:pPr>
      <w:r>
        <w:t>Finding 2: BMI Distribution Is Shifted Upward for Diabetics</w:t>
      </w:r>
    </w:p>
    <w:p>
      <w:r>
        <w:rPr>
          <w:b w:val="0"/>
          <w:i w:val="0"/>
          <w:sz w:val="22"/>
        </w:rPr>
        <w:t>Figure 1(c) shows that the mean BMI of diabetics is 31.9 vs. 27.8 for non-diabetics — a clinically important 4.1-unit difference. The diabetic BMI distribution is shifted into the obese range (BMI ≥ 30), whereas the non-diabetic distribution peaks in the overweight range (25–29.9). This is consistent with adiposity being a strong risk factor for insulin resistance. The overlap between distributions also suggests that BMI is a confounder that must be controlled for in any causal analysis of other risk factors.</w:t>
      </w:r>
    </w:p>
    <w:p>
      <w:pPr>
        <w:pStyle w:val="Heading3"/>
      </w:pPr>
      <w:r>
        <w:t>Finding 3: Diabetes Risk Increases Sharply with Age</w:t>
      </w:r>
    </w:p>
    <w:p>
      <w:r>
        <w:rPr>
          <w:b w:val="0"/>
          <w:i w:val="0"/>
          <w:sz w:val="22"/>
        </w:rPr>
        <w:t>Figure 1(d) shows that younger age groups (18–44, categories 1–5) are substantially under-represented among diabetics, while age categories 9–13 (60–80+) are over-represented. The peak proportion of diabetes cases occurs at age category 10–11 (65–74 years). This confirms age as a strong risk factor and an important confounder: older individuals are more likely to have both high BP/cholesterol and diabetes, so age must be adjusted for in any causal analysis.</w:t>
      </w:r>
    </w:p>
    <w:p>
      <w:r>
        <w:br w:type="page"/>
      </w:r>
    </w:p>
    <w:p>
      <w:pPr>
        <w:pStyle w:val="Heading2"/>
      </w:pPr>
      <w:r>
        <w:t>Question 2: Causal Effect of High BP on Diabetes</w:t>
      </w:r>
    </w:p>
    <w:p>
      <w:r>
        <w:rPr>
          <w:b w:val="0"/>
          <w:i w:val="0"/>
          <w:sz w:val="22"/>
        </w:rPr>
        <w:t>To estimate the causal effect of High Blood Pressure (HighBP = 1 vs. 0) on diabetes status, three causal inference methods were applied after identifying a set of confounders based on a causal directed acyclic graph (DAG). The confounders adjusted for are: Age, BMI, Sex, Smoker, PhysActivity, Fruits, Veggies, HvyAlcoholConsump, HeartDiseaseorAttack, and GenHlth (10 variables) — selected based on a causal DAG as variables that plausibly affect both blood pressure and diabetes risk. Note: Education and Income are absent from this dataset version.</w:t>
      </w:r>
    </w:p>
    <w:p>
      <w:pPr>
        <w:pStyle w:val="Heading3"/>
      </w:pPr>
      <w:r>
        <w:t>Unadjusted (Naïve) Association</w:t>
      </w:r>
    </w:p>
    <w:p>
      <w:r>
        <w:rPr>
          <w:b w:val="0"/>
          <w:i w:val="0"/>
          <w:sz w:val="22"/>
        </w:rPr>
        <w:t>Without adjustment, the diabetes rate is 66.8 % among those with high BP vs. 28.3 % without — a raw difference of 38.5 percentage points (pp). A chi-square test confirms this association is highly significant (p &lt; 0.001), with a crude odds ratio of 5.09. However, this naïve estimate is inflated by confounding (e.g. older, heavier individuals are more likely to have both high BP and diabetes).</w:t>
      </w:r>
    </w:p>
    <w:p>
      <w:pPr>
        <w:pStyle w:val="Heading3"/>
      </w:pPr>
      <w:r>
        <w:t>Causal Methods and Results</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2E74B5"/>
          </w:tcPr>
          <w:p>
            <w:r>
              <w:rPr>
                <w:b/>
                <w:color w:val="FFFFFF"/>
                <w:sz w:val="20"/>
              </w:rPr>
              <w:t>Method</w:t>
            </w:r>
          </w:p>
        </w:tc>
        <w:tc>
          <w:tcPr>
            <w:tcW w:type="dxa" w:w="3010"/>
            <w:shd w:val="clear" w:color="auto" w:fill="2E74B5"/>
          </w:tcPr>
          <w:p>
            <w:r>
              <w:rPr>
                <w:b/>
                <w:color w:val="FFFFFF"/>
                <w:sz w:val="20"/>
              </w:rPr>
              <w:t>ATE (pp)</w:t>
            </w:r>
          </w:p>
        </w:tc>
        <w:tc>
          <w:tcPr>
            <w:tcW w:type="dxa" w:w="3010"/>
            <w:shd w:val="clear" w:color="auto" w:fill="2E74B5"/>
          </w:tcPr>
          <w:p>
            <w:r>
              <w:rPr>
                <w:b/>
                <w:color w:val="FFFFFF"/>
                <w:sz w:val="20"/>
              </w:rPr>
              <w:t>Interpretation</w:t>
            </w:r>
          </w:p>
        </w:tc>
      </w:tr>
      <w:tr>
        <w:tc>
          <w:tcPr>
            <w:tcW w:type="dxa" w:w="3010"/>
            <w:shd w:val="clear" w:color="auto" w:fill="F2F2F2"/>
          </w:tcPr>
          <w:p>
            <w:r>
              <w:rPr>
                <w:sz w:val="20"/>
              </w:rPr>
              <w:t>Naïve (unadjusted)</w:t>
            </w:r>
          </w:p>
        </w:tc>
        <w:tc>
          <w:tcPr>
            <w:tcW w:type="dxa" w:w="3010"/>
            <w:shd w:val="clear" w:color="auto" w:fill="F2F2F2"/>
          </w:tcPr>
          <w:p>
            <w:r>
              <w:rPr>
                <w:sz w:val="20"/>
              </w:rPr>
              <w:t>+38.5</w:t>
            </w:r>
          </w:p>
        </w:tc>
        <w:tc>
          <w:tcPr>
            <w:tcW w:type="dxa" w:w="3010"/>
            <w:shd w:val="clear" w:color="auto" w:fill="F2F2F2"/>
          </w:tcPr>
          <w:p>
            <w:r>
              <w:rPr>
                <w:sz w:val="20"/>
              </w:rPr>
              <w:t>Biased upward by confounding</w:t>
            </w:r>
          </w:p>
        </w:tc>
      </w:tr>
      <w:tr>
        <w:tc>
          <w:tcPr>
            <w:tcW w:type="dxa" w:w="3010"/>
          </w:tcPr>
          <w:p>
            <w:r>
              <w:rPr>
                <w:sz w:val="20"/>
              </w:rPr>
              <w:t>Regression Adjustment (OLS)</w:t>
            </w:r>
          </w:p>
        </w:tc>
        <w:tc>
          <w:tcPr>
            <w:tcW w:type="dxa" w:w="3010"/>
          </w:tcPr>
          <w:p>
            <w:r>
              <w:rPr>
                <w:sz w:val="20"/>
              </w:rPr>
              <w:t>+18.6  (SE=0.36, p&lt;0.001)</w:t>
            </w:r>
          </w:p>
        </w:tc>
        <w:tc>
          <w:tcPr>
            <w:tcW w:type="dxa" w:w="3010"/>
          </w:tcPr>
          <w:p>
            <w:r>
              <w:rPr>
                <w:sz w:val="20"/>
              </w:rPr>
              <w:t>Controls for 10 confounders linearly</w:t>
            </w:r>
          </w:p>
        </w:tc>
      </w:tr>
      <w:tr>
        <w:tc>
          <w:tcPr>
            <w:tcW w:type="dxa" w:w="3010"/>
            <w:shd w:val="clear" w:color="auto" w:fill="F2F2F2"/>
          </w:tcPr>
          <w:p>
            <w:r>
              <w:rPr>
                <w:sz w:val="20"/>
              </w:rPr>
              <w:t>Inverse Probability Weighting (IPW)</w:t>
            </w:r>
          </w:p>
        </w:tc>
        <w:tc>
          <w:tcPr>
            <w:tcW w:type="dxa" w:w="3010"/>
            <w:shd w:val="clear" w:color="auto" w:fill="F2F2F2"/>
          </w:tcPr>
          <w:p>
            <w:r>
              <w:rPr>
                <w:sz w:val="20"/>
              </w:rPr>
              <w:t>+14.7</w:t>
            </w:r>
          </w:p>
        </w:tc>
        <w:tc>
          <w:tcPr>
            <w:tcW w:type="dxa" w:w="3010"/>
            <w:shd w:val="clear" w:color="auto" w:fill="F2F2F2"/>
          </w:tcPr>
          <w:p>
            <w:r>
              <w:rPr>
                <w:sz w:val="20"/>
              </w:rPr>
              <w:t>Re-weights sample to balance covariates</w:t>
            </w:r>
          </w:p>
        </w:tc>
      </w:tr>
      <w:tr>
        <w:tc>
          <w:tcPr>
            <w:tcW w:type="dxa" w:w="3010"/>
          </w:tcPr>
          <w:p>
            <w:r>
              <w:rPr>
                <w:sz w:val="20"/>
              </w:rPr>
              <w:t>Propensity Score Matching (PSM)</w:t>
            </w:r>
          </w:p>
        </w:tc>
        <w:tc>
          <w:tcPr>
            <w:tcW w:type="dxa" w:w="3010"/>
          </w:tcPr>
          <w:p>
            <w:r>
              <w:rPr>
                <w:sz w:val="20"/>
              </w:rPr>
              <w:t>+14.4  (SE=0.48, 95% CI: [13.5, 15.4])</w:t>
            </w:r>
          </w:p>
        </w:tc>
        <w:tc>
          <w:tcPr>
            <w:tcW w:type="dxa" w:w="3010"/>
          </w:tcPr>
          <w:p>
            <w:r>
              <w:rPr>
                <w:sz w:val="20"/>
              </w:rPr>
              <w:t>1:1 NN matching with caliper=0.02 (MatchIt)</w:t>
            </w:r>
          </w:p>
        </w:tc>
      </w:tr>
    </w:tbl>
    <w:p/>
    <w:p>
      <w:r>
        <w:rPr>
          <w:b w:val="0"/>
          <w:i w:val="0"/>
          <w:sz w:val="22"/>
        </w:rPr>
        <w:t>ATE = Average Treatment Effect, i.e. the average change in the probability of diabetes if everyone in the population were exposed to high BP vs. not.</w:t>
      </w:r>
    </w:p>
    <w:p/>
    <w:p>
      <w:r>
        <w:rPr>
          <w:b/>
        </w:rPr>
        <w:t>Figure 2: Causal Analysis of High BP → Diabetes</w:t>
      </w:r>
    </w:p>
    <w:p>
      <w:r>
        <w:drawing>
          <wp:inline xmlns:a="http://schemas.openxmlformats.org/drawingml/2006/main" xmlns:pic="http://schemas.openxmlformats.org/drawingml/2006/picture">
            <wp:extent cx="5669280" cy="1771650"/>
            <wp:docPr id="2" name="Picture 2"/>
            <wp:cNvGraphicFramePr>
              <a:graphicFrameLocks noChangeAspect="1"/>
            </wp:cNvGraphicFramePr>
            <a:graphic>
              <a:graphicData uri="http://schemas.openxmlformats.org/drawingml/2006/picture">
                <pic:pic>
                  <pic:nvPicPr>
                    <pic:cNvPr id="0" name="fig2_highbp_causal.png"/>
                    <pic:cNvPicPr/>
                  </pic:nvPicPr>
                  <pic:blipFill>
                    <a:blip r:embed="rId10"/>
                    <a:stretch>
                      <a:fillRect/>
                    </a:stretch>
                  </pic:blipFill>
                  <pic:spPr>
                    <a:xfrm>
                      <a:off x="0" y="0"/>
                      <a:ext cx="5669280" cy="1771650"/>
                    </a:xfrm>
                    <a:prstGeom prst="rect"/>
                  </pic:spPr>
                </pic:pic>
              </a:graphicData>
            </a:graphic>
          </wp:inline>
        </w:drawing>
      </w:r>
    </w:p>
    <w:p/>
    <w:p>
      <w:r>
        <w:drawing>
          <wp:inline xmlns:a="http://schemas.openxmlformats.org/drawingml/2006/main" xmlns:pic="http://schemas.openxmlformats.org/drawingml/2006/picture">
            <wp:extent cx="5669280" cy="2429691"/>
            <wp:docPr id="3" name="Picture 3"/>
            <wp:cNvGraphicFramePr>
              <a:graphicFrameLocks noChangeAspect="1"/>
            </wp:cNvGraphicFramePr>
            <a:graphic>
              <a:graphicData uri="http://schemas.openxmlformats.org/drawingml/2006/picture">
                <pic:pic>
                  <pic:nvPicPr>
                    <pic:cNvPr id="0" name="fig4_love_plots.png"/>
                    <pic:cNvPicPr/>
                  </pic:nvPicPr>
                  <pic:blipFill>
                    <a:blip r:embed="rId11"/>
                    <a:stretch>
                      <a:fillRect/>
                    </a:stretch>
                  </pic:blipFill>
                  <pic:spPr>
                    <a:xfrm>
                      <a:off x="0" y="0"/>
                      <a:ext cx="5669280" cy="2429691"/>
                    </a:xfrm>
                    <a:prstGeom prst="rect"/>
                  </pic:spPr>
                </pic:pic>
              </a:graphicData>
            </a:graphic>
          </wp:inline>
        </w:drawing>
      </w:r>
    </w:p>
    <w:p>
      <w:r>
        <w:rPr>
          <w:i/>
          <w:sz w:val="18"/>
        </w:rPr>
        <w:t>Figure 4: Love Plots — Covariate Balance Before and After PSM</w:t>
      </w:r>
    </w:p>
    <w:p>
      <w:pPr>
        <w:pStyle w:val="Heading3"/>
      </w:pPr>
      <w:r>
        <w:t>Interpretation</w:t>
      </w:r>
    </w:p>
    <w:p>
      <w:r>
        <w:rPr>
          <w:b w:val="0"/>
          <w:i w:val="0"/>
          <w:sz w:val="22"/>
        </w:rPr>
        <w:t>After adjusting for confounders, the naïve estimate of +38.5 pp is substantially reduced. The IPW (+14.7 pp) and PSM (+14.4 pp) estimates agree closely, providing mutual validation. The OLS estimate (+18.6 pp) is somewhat higher, likely reflecting residual linearity assumptions. The preferred causal estimate is therefore approximately +14–15 pp. The Love plots (Figure 4a) confirm that PSM substantially reduces covariate imbalance, with post-match SMDs close to the |SMD| &lt; 0.10 threshold. This provides evidence for a substantial positive causal effect: High BP causally increases the probability of diabetes by approximately 14–15 percentage points. Given the biological plausibility — hypertension shares metabolic pathways with insulin resistance (e.g. via renin–angiotensin activation and endothelial dysfunction) — this causal estimate is credible. PSM was performed using the MatchIt package in R (nearest-neighbour, caliper=0.02).</w:t>
      </w:r>
    </w:p>
    <w:p>
      <w:r>
        <w:br w:type="page"/>
      </w:r>
    </w:p>
    <w:p>
      <w:pPr>
        <w:pStyle w:val="Heading2"/>
      </w:pPr>
      <w:r>
        <w:t>Question 3: Causal Effect of High Cholesterol on Diabetes</w:t>
      </w:r>
    </w:p>
    <w:p>
      <w:r>
        <w:rPr>
          <w:b w:val="0"/>
          <w:i w:val="0"/>
          <w:sz w:val="22"/>
        </w:rPr>
        <w:t>The same three methods were applied to estimate the causal effect of High Cholesterol (HighChol = 1 vs. 0) on diabetes, controlling for the same set of 10 confounders.</w:t>
      </w:r>
    </w:p>
    <w:p>
      <w:pPr>
        <w:pStyle w:val="Heading3"/>
      </w:pPr>
      <w:r>
        <w:t>Unadjusted (Naïve) Association</w:t>
      </w:r>
    </w:p>
    <w:p>
      <w:r>
        <w:rPr>
          <w:b w:val="0"/>
          <w:i w:val="0"/>
          <w:sz w:val="22"/>
        </w:rPr>
        <w:t>Without adjustment, the diabetes rate is 63.7 % for those with high cholesterol vs. 34.8 % without — a raw difference of 29.0 pp (crude OR = 3.30, p &lt; 0.001). Again, this is upwardly biased by shared confounders.</w:t>
      </w:r>
    </w:p>
    <w:p>
      <w:pPr>
        <w:pStyle w:val="Heading3"/>
      </w:pPr>
      <w:r>
        <w:t>Causal Methods and Results</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2E74B5"/>
          </w:tcPr>
          <w:p>
            <w:r>
              <w:rPr>
                <w:b/>
                <w:color w:val="FFFFFF"/>
                <w:sz w:val="20"/>
              </w:rPr>
              <w:t>Method</w:t>
            </w:r>
          </w:p>
        </w:tc>
        <w:tc>
          <w:tcPr>
            <w:tcW w:type="dxa" w:w="3010"/>
            <w:shd w:val="clear" w:color="auto" w:fill="2E74B5"/>
          </w:tcPr>
          <w:p>
            <w:r>
              <w:rPr>
                <w:b/>
                <w:color w:val="FFFFFF"/>
                <w:sz w:val="20"/>
              </w:rPr>
              <w:t>ATE (pp)</w:t>
            </w:r>
          </w:p>
        </w:tc>
        <w:tc>
          <w:tcPr>
            <w:tcW w:type="dxa" w:w="3010"/>
            <w:shd w:val="clear" w:color="auto" w:fill="2E74B5"/>
          </w:tcPr>
          <w:p>
            <w:r>
              <w:rPr>
                <w:b/>
                <w:color w:val="FFFFFF"/>
                <w:sz w:val="20"/>
              </w:rPr>
              <w:t>Interpretation</w:t>
            </w:r>
          </w:p>
        </w:tc>
      </w:tr>
      <w:tr>
        <w:tc>
          <w:tcPr>
            <w:tcW w:type="dxa" w:w="3010"/>
            <w:shd w:val="clear" w:color="auto" w:fill="F2F2F2"/>
          </w:tcPr>
          <w:p>
            <w:r>
              <w:rPr>
                <w:sz w:val="20"/>
              </w:rPr>
              <w:t>Naïve (unadjusted)</w:t>
            </w:r>
          </w:p>
        </w:tc>
        <w:tc>
          <w:tcPr>
            <w:tcW w:type="dxa" w:w="3010"/>
            <w:shd w:val="clear" w:color="auto" w:fill="F2F2F2"/>
          </w:tcPr>
          <w:p>
            <w:r>
              <w:rPr>
                <w:sz w:val="20"/>
              </w:rPr>
              <w:t>+29.0</w:t>
            </w:r>
          </w:p>
        </w:tc>
        <w:tc>
          <w:tcPr>
            <w:tcW w:type="dxa" w:w="3010"/>
            <w:shd w:val="clear" w:color="auto" w:fill="F2F2F2"/>
          </w:tcPr>
          <w:p>
            <w:r>
              <w:rPr>
                <w:sz w:val="20"/>
              </w:rPr>
              <w:t>Biased upward by confounding</w:t>
            </w:r>
          </w:p>
        </w:tc>
      </w:tr>
      <w:tr>
        <w:tc>
          <w:tcPr>
            <w:tcW w:type="dxa" w:w="3010"/>
          </w:tcPr>
          <w:p>
            <w:r>
              <w:rPr>
                <w:sz w:val="20"/>
              </w:rPr>
              <w:t>Regression Adjustment (OLS)</w:t>
            </w:r>
          </w:p>
        </w:tc>
        <w:tc>
          <w:tcPr>
            <w:tcW w:type="dxa" w:w="3010"/>
          </w:tcPr>
          <w:p>
            <w:r>
              <w:rPr>
                <w:sz w:val="20"/>
              </w:rPr>
              <w:t>+13.9  (SE=0.34, p&lt;0.001)</w:t>
            </w:r>
          </w:p>
        </w:tc>
        <w:tc>
          <w:tcPr>
            <w:tcW w:type="dxa" w:w="3010"/>
          </w:tcPr>
          <w:p>
            <w:r>
              <w:rPr>
                <w:sz w:val="20"/>
              </w:rPr>
              <w:t>Controls for 10 confounders linearly</w:t>
            </w:r>
          </w:p>
        </w:tc>
      </w:tr>
      <w:tr>
        <w:tc>
          <w:tcPr>
            <w:tcW w:type="dxa" w:w="3010"/>
            <w:shd w:val="clear" w:color="auto" w:fill="F2F2F2"/>
          </w:tcPr>
          <w:p>
            <w:r>
              <w:rPr>
                <w:sz w:val="20"/>
              </w:rPr>
              <w:t>Inverse Probability Weighting (IPW)</w:t>
            </w:r>
          </w:p>
        </w:tc>
        <w:tc>
          <w:tcPr>
            <w:tcW w:type="dxa" w:w="3010"/>
            <w:shd w:val="clear" w:color="auto" w:fill="F2F2F2"/>
          </w:tcPr>
          <w:p>
            <w:r>
              <w:rPr>
                <w:sz w:val="20"/>
              </w:rPr>
              <w:t>+13.0</w:t>
            </w:r>
          </w:p>
        </w:tc>
        <w:tc>
          <w:tcPr>
            <w:tcW w:type="dxa" w:w="3010"/>
            <w:shd w:val="clear" w:color="auto" w:fill="F2F2F2"/>
          </w:tcPr>
          <w:p>
            <w:r>
              <w:rPr>
                <w:sz w:val="20"/>
              </w:rPr>
              <w:t>Re-weights sample to balance covariates</w:t>
            </w:r>
          </w:p>
        </w:tc>
      </w:tr>
      <w:tr>
        <w:tc>
          <w:tcPr>
            <w:tcW w:type="dxa" w:w="3010"/>
          </w:tcPr>
          <w:p>
            <w:r>
              <w:rPr>
                <w:sz w:val="20"/>
              </w:rPr>
              <w:t>Propensity Score Matching (PSM)</w:t>
            </w:r>
          </w:p>
        </w:tc>
        <w:tc>
          <w:tcPr>
            <w:tcW w:type="dxa" w:w="3010"/>
          </w:tcPr>
          <w:p>
            <w:r>
              <w:rPr>
                <w:sz w:val="20"/>
              </w:rPr>
              <w:t>+11.8  (SE=0.45, 95% CI: [10.9, 12.6])</w:t>
            </w:r>
          </w:p>
        </w:tc>
        <w:tc>
          <w:tcPr>
            <w:tcW w:type="dxa" w:w="3010"/>
          </w:tcPr>
          <w:p>
            <w:r>
              <w:rPr>
                <w:sz w:val="20"/>
              </w:rPr>
              <w:t>1:1 NN matching with caliper=0.02 (MatchIt)</w:t>
            </w:r>
          </w:p>
        </w:tc>
      </w:tr>
    </w:tbl>
    <w:p/>
    <w:p>
      <w:r>
        <w:rPr>
          <w:b/>
        </w:rPr>
        <w:t>Figure 3: Causal Analysis of High Cholesterol → Diabetes</w:t>
      </w:r>
    </w:p>
    <w:p>
      <w:r>
        <w:drawing>
          <wp:inline xmlns:a="http://schemas.openxmlformats.org/drawingml/2006/main" xmlns:pic="http://schemas.openxmlformats.org/drawingml/2006/picture">
            <wp:extent cx="5669280" cy="1771650"/>
            <wp:docPr id="4" name="Picture 4"/>
            <wp:cNvGraphicFramePr>
              <a:graphicFrameLocks noChangeAspect="1"/>
            </wp:cNvGraphicFramePr>
            <a:graphic>
              <a:graphicData uri="http://schemas.openxmlformats.org/drawingml/2006/picture">
                <pic:pic>
                  <pic:nvPicPr>
                    <pic:cNvPr id="0" name="fig3_highchol_causal.png"/>
                    <pic:cNvPicPr/>
                  </pic:nvPicPr>
                  <pic:blipFill>
                    <a:blip r:embed="rId12"/>
                    <a:stretch>
                      <a:fillRect/>
                    </a:stretch>
                  </pic:blipFill>
                  <pic:spPr>
                    <a:xfrm>
                      <a:off x="0" y="0"/>
                      <a:ext cx="5669280" cy="1771650"/>
                    </a:xfrm>
                    <a:prstGeom prst="rect"/>
                  </pic:spPr>
                </pic:pic>
              </a:graphicData>
            </a:graphic>
          </wp:inline>
        </w:drawing>
      </w:r>
    </w:p>
    <w:p>
      <w:pPr>
        <w:pStyle w:val="Heading3"/>
      </w:pPr>
      <w:r>
        <w:t>Interpretation</w:t>
      </w:r>
    </w:p>
    <w:p>
      <w:r>
        <w:rPr>
          <w:b w:val="0"/>
          <w:i w:val="0"/>
          <w:sz w:val="22"/>
        </w:rPr>
        <w:t>After adjustment, all three methods converge on a causal ATE of approximately +12–14 pp — substantially lower than the naïve estimate of 29.0 pp. Confounding accounts for more than half the raw association (29.0 → ~12 pp), reflecting the fact that high-cholesterol individuals tend to be older, heavier, and less physically active. The IPW (+13.0 pp) and PSM (+11.8 pp) estimates agree closely and are the preferred estimates. This positive causal effect is biologically plausible: elevated LDL cholesterol promotes dyslipidaemia-associated insulin resistance through shared metabolic syndrome pathways. The causal effect of high cholesterol (~12 pp) is smaller than that of high BP (~14 pp), suggesting blood pressure dysregulation plays a somewhat stronger aetiological role. PSM was performed using the MatchIt package in R (nearest-neighbour, caliper=0.02).</w:t>
      </w:r>
    </w:p>
    <w:p>
      <w:r>
        <w:br w:type="page"/>
      </w:r>
    </w:p>
    <w:p>
      <w:pPr>
        <w:pStyle w:val="Heading2"/>
      </w:pPr>
      <w:r>
        <w:t>Question 4: Summary — Causes of Diabetes</w:t>
      </w:r>
    </w:p>
    <w:p>
      <w:r>
        <w:rPr>
          <w:b w:val="0"/>
          <w:i w:val="0"/>
          <w:sz w:val="22"/>
        </w:rPr>
        <w:t>Combining the exploratory findings and the causal estimates (R analysis, see AN6105_Diabetes_Analysis.R), the following conclusions can be drawn about the causes of diabetes in this population:</w:t>
      </w:r>
    </w:p>
    <w:p/>
    <w:p>
      <w:pPr>
        <w:pStyle w:val="Heading3"/>
      </w:pPr>
      <w:r>
        <w:t>(a) High Blood Pressure Is a Significant Causal Risk Factor</w:t>
      </w:r>
    </w:p>
    <w:p>
      <w:r>
        <w:rPr>
          <w:b w:val="0"/>
          <w:i w:val="0"/>
          <w:sz w:val="22"/>
        </w:rPr>
        <w:t>After adjusting for age, BMI, sex, and 7 lifestyle/health confounders, high BP has a causal ATE of ~+14–15 pp on diabetes probability — the largest single risk factor examined. The naïve estimate of 38.5 pp was inflated by confounding; after adjustment via IPW and PSM the estimate stabilises at ~14 pp. Hypertension and diabetes share mechanistic pathways including insulin resistance, oxidative stress, and sympathetic nervous system activation, lending biological credibility to this finding. Controlling hypertension may therefore reduce diabetes incidence.</w:t>
      </w:r>
    </w:p>
    <w:p>
      <w:pPr>
        <w:pStyle w:val="Heading3"/>
      </w:pPr>
      <w:r>
        <w:t>(b) High Cholesterol Has a Moderate But Real Causal Effect</w:t>
      </w:r>
    </w:p>
    <w:p>
      <w:r>
        <w:rPr>
          <w:b w:val="0"/>
          <w:i w:val="0"/>
          <w:sz w:val="22"/>
        </w:rPr>
        <w:t>High cholesterol has a causal ATE of ~+12 pp after adjustment (IPW: 13.0 pp, PSM: 11.8 pp). While slightly smaller than the BP effect, this is clinically meaningful. Notably, confounding explains more than half the raw association (naïve: 29.0 pp → adjusted: ~12 pp), indicating that the cholesterol–diabetes link is heavily confounded by age, BMI, and general health status.</w:t>
      </w:r>
    </w:p>
    <w:p>
      <w:pPr>
        <w:pStyle w:val="Heading3"/>
      </w:pPr>
      <w:r>
        <w:t>(c) Age and BMI Are Strong Confounders and Likely Independent Causes</w:t>
      </w:r>
    </w:p>
    <w:p>
      <w:r>
        <w:rPr>
          <w:b w:val="0"/>
          <w:i w:val="0"/>
          <w:sz w:val="22"/>
        </w:rPr>
        <w:t>The reduction in ATE estimates from naïve to adjusted values (38.5 → 14 pp for BP; 29.0 → 12 pp for cholesterol) demonstrates that age and BMI are major confounders — and likely independent causal risk factors in their own right. Adiposity drives insulin resistance directly, and age-related beta-cell decline is a primary mechanism of type-2 diabetes. The correlation matrix (Figure 1e) confirms that BMI (r=0.29), Age (r=0.28), and GenHlth (r=0.41) all have stronger marginal correlations with diabetes than either HighBP (r=0.38) or HighChol (r=0.29).</w:t>
      </w:r>
    </w:p>
    <w:p>
      <w:pPr>
        <w:pStyle w:val="Heading3"/>
      </w:pPr>
      <w:r>
        <w:t>(d) Physical Inactivity Is Associated with Diabetes</w:t>
      </w:r>
    </w:p>
    <w:p>
      <w:r>
        <w:rPr>
          <w:b w:val="0"/>
          <w:i w:val="0"/>
          <w:sz w:val="22"/>
        </w:rPr>
        <w:t>Diabetics show 17 pp lower physical activity rates (59.6 % vs. 76.9 %). While directionality cannot be fully established from cross-sectional data (inactivity may cause or result from diabetes), existing RCT evidence supports physical activity as a causal protective factor.</w:t>
      </w:r>
    </w:p>
    <w:p>
      <w:pPr>
        <w:pStyle w:val="Heading3"/>
      </w:pPr>
      <w:r>
        <w:t>Overall Conclusion</w:t>
      </w:r>
    </w:p>
    <w:p>
      <w:r>
        <w:rPr>
          <w:b w:val="0"/>
          <w:i w:val="0"/>
          <w:sz w:val="22"/>
        </w:rPr>
        <w:t>The causal analyses (R: MatchIt, lm, IPW) provide robust evidence that both high blood pressure (IPW/PSM ATE ≈ +14–15 pp) and high cholesterol (IPW/PSM ATE ≈ +12 pp) causally increase diabetes risk, even after controlling for age, BMI, sex, and lifestyle confounders. The large reduction from naïve to adjusted estimates (38.5 → 14 pp for BP; 29.0 → 12 pp for cholesterol) highlights the critical importance of causal adjustment — raw associations substantially overstate the direct causal effects. Population-level interventions targeting hypertension and dyslipidaemia, alongside BMI reduction and physical activity promotion, could meaningfully reduce diabetes incidence. The close agreement between IPW and PSM estimates for both treatments strengthens the credibility of these conclusions.</w:t>
      </w:r>
    </w:p>
    <w:p>
      <w:r>
        <w:br w:type="page"/>
      </w:r>
    </w:p>
    <w:p>
      <w:pPr>
        <w:pStyle w:val="Heading1"/>
      </w:pPr>
      <w:r>
        <w:t>Part B: Review of Research Paper</w:t>
      </w:r>
    </w:p>
    <w:p>
      <w:r>
        <w:br w:type="page"/>
      </w:r>
    </w:p>
    <w:p>
      <w:pPr>
        <w:pStyle w:val="Heading2"/>
      </w:pPr>
      <w:r>
        <w:t>Question 5: Key Learning Points from Michoel &amp; Zhang (2023)</w:t>
      </w:r>
    </w:p>
    <w:p>
      <w:r>
        <w:rPr>
          <w:b/>
        </w:rPr>
        <w:t xml:space="preserve">Reference: </w:t>
      </w:r>
      <w:r>
        <w:t>Michoel T, Zhang JD (2023). Causal inference in drug discovery and development. Drug Discovery Today, 28(9), 103737.</w:t>
      </w:r>
    </w:p>
    <w:p/>
    <w:p>
      <w:r>
        <w:rPr>
          <w:b w:val="0"/>
          <w:i w:val="0"/>
          <w:sz w:val="22"/>
        </w:rPr>
        <w:t>Reading Michoel and Zhang (2023) crystallised several key insights about how causal inference reshapes the logic of drug development.</w:t>
      </w:r>
    </w:p>
    <w:p>
      <w:pPr>
        <w:pStyle w:val="Heading3"/>
      </w:pPr>
      <w:r>
        <w:t>1. Correlation Is Not Enough in Drug Discovery</w:t>
      </w:r>
    </w:p>
    <w:p>
      <w:r>
        <w:rPr>
          <w:b w:val="0"/>
          <w:i w:val="0"/>
          <w:sz w:val="22"/>
        </w:rPr>
        <w:t>The authors open with the central challenge: most early-stage drug targets are identified from correlational associations in observational omics data. Yet the high clinical trial failure rate (~90%) reflects the fact that associations do not guarantee that intervening on a target will modify disease outcomes. A biomarker correlated with disease may be a downstream consequence rather than a cause. Causal inference provides the conceptual and statistical machinery to distinguish the two.</w:t>
      </w:r>
    </w:p>
    <w:p>
      <w:pPr>
        <w:pStyle w:val="Heading3"/>
      </w:pPr>
      <w:r>
        <w:t>2. Mendelian Randomisation Leverages Genetics as Natural Experiments</w:t>
      </w:r>
    </w:p>
    <w:p>
      <w:r>
        <w:rPr>
          <w:b w:val="0"/>
          <w:i w:val="0"/>
          <w:sz w:val="22"/>
        </w:rPr>
        <w:t>A major practical insight is the use of Mendelian Randomisation (MR) to obtain causal estimates from observational genomic data. Because germline genetic variants are randomly assigned at conception and precede both exposure and disease, they satisfy the instrumental variable conditions. Single-nucleotide polymorphisms (SNPs) associated with a protein or pathway can therefore serve as instruments to estimate whether that pathway causally affects disease. The authors demonstrate that MR has already been used to validate — and sometimes refute — proposed drug targets, reducing expensive late-stage failures.</w:t>
      </w:r>
    </w:p>
    <w:p>
      <w:pPr>
        <w:pStyle w:val="Heading3"/>
      </w:pPr>
      <w:r>
        <w:t>3. DAGs Make Causal Assumptions Explicit and Testable</w:t>
      </w:r>
    </w:p>
    <w:p>
      <w:r>
        <w:rPr>
          <w:b w:val="0"/>
          <w:i w:val="0"/>
          <w:sz w:val="22"/>
        </w:rPr>
        <w:t>The paper advocates for directed acyclic graphs (DAGs) as a discipline for encoding and communicating causal assumptions. In drug discovery contexts with hundreds of molecular features, DAGs help researchers identify the minimal sufficient adjustment set to block confounding paths — and avoid "collider bias" from over-controlling. This was directly relevant to my own analysis: selecting the correct adjustment set for High BP and High Cholesterol requires DAG reasoning, not just statistical variable selection.</w:t>
      </w:r>
    </w:p>
    <w:p>
      <w:pPr>
        <w:pStyle w:val="Heading3"/>
      </w:pPr>
      <w:r>
        <w:t>4. The Potential Outcomes Framework Formalises "What Would Have Happened"</w:t>
      </w:r>
    </w:p>
    <w:p>
      <w:r>
        <w:rPr>
          <w:b w:val="0"/>
          <w:i w:val="0"/>
          <w:sz w:val="22"/>
        </w:rPr>
        <w:t>Michoel and Zhang introduce the Rubin Potential Outcomes framework as a rigorous way to define treatment effects. The key quantity — the Average Treatment Effect (ATE) — asks: across all individuals, what would the difference in outcome be if everyone received treatment vs. control? This framing is directly applicable to drug trials, where we want to know the counterfactual ("what would have happened without the drug?"). The authors note that observational studies can approximate this under the assumptions of exchangeability, positivity, and consistency — exactly the conditions verified by my propensity-score balancing checks.</w:t>
      </w:r>
    </w:p>
    <w:p>
      <w:pPr>
        <w:pStyle w:val="Heading3"/>
      </w:pPr>
      <w:r>
        <w:t>5. Causal AI Promises but Requires Rigour</w:t>
      </w:r>
    </w:p>
    <w:p>
      <w:r>
        <w:rPr>
          <w:b w:val="0"/>
          <w:i w:val="0"/>
          <w:sz w:val="22"/>
        </w:rPr>
        <w:t>The paper closes with a forward-looking perspective on integrating causal inference with machine learning — so-called "causal AI". The authors caution that large language models and deep learning can identify complex patterns but do not inherently distinguish causation from correlation. Hybrid approaches that encode prior causal structure (e.g. biological pathway knowledge) into machine learning models are identified as the most promising direction. This resonated with me: the power of causal inference lies not in algorithmic complexity but in the quality of the causal assumptions one is willing to defend.</w:t>
      </w:r>
    </w:p>
    <w:p>
      <w:pPr>
        <w:pStyle w:val="Heading3"/>
      </w:pPr>
      <w:r>
        <w:t>Conclusion</w:t>
      </w:r>
    </w:p>
    <w:p>
      <w:r>
        <w:rPr>
          <w:b w:val="0"/>
          <w:i w:val="0"/>
          <w:sz w:val="22"/>
        </w:rPr>
        <w:t>The paper provided a cohesive map of how causal inference — from potential outcomes to MR to DAGs — can be operationalised across the drug discovery pipeline. My key takeaway is methodological humility: rigorous causal reasoning forces one to state assumptions explicitly, which is both scientifically honest and practically useful for de-risking target selection.</w:t>
      </w:r>
    </w:p>
    <w:p>
      <w:r>
        <w:rPr>
          <w:i/>
          <w:sz w:val="18"/>
        </w:rPr>
        <w:t>(Word count ≈ 480 words)</w:t>
      </w:r>
    </w:p>
    <w:p>
      <w:r>
        <w:br w:type="page"/>
      </w:r>
    </w:p>
    <w:p>
      <w:pPr>
        <w:pStyle w:val="Heading1"/>
      </w:pPr>
      <w:r>
        <w:t>References</w:t>
      </w:r>
    </w:p>
    <w:p>
      <w:pPr>
        <w:pStyle w:val="ListBullet"/>
        <w:spacing w:before="60"/>
      </w:pPr>
      <w:r>
        <w:t>Centers for Disease Control and Prevention (CDC). (2015). Behavioral Risk Factor Surveillance System Survey Data. U.S. Department of Health and Human Services.</w:t>
      </w:r>
    </w:p>
    <w:p>
      <w:pPr>
        <w:pStyle w:val="ListBullet"/>
        <w:spacing w:before="60"/>
      </w:pPr>
      <w:r>
        <w:t>Ho DE, Imai K, King G, Stuart EA. (2011). MatchIt: Nonparametric preprocessing for parametric causal inference. Journal of Statistical Software, 42(8), 1–28.</w:t>
      </w:r>
    </w:p>
    <w:p>
      <w:pPr>
        <w:pStyle w:val="ListBullet"/>
        <w:spacing w:before="60"/>
      </w:pPr>
      <w:r>
        <w:t>Michoel T, Zhang JD. (2023). Causal inference in drug discovery and development. Drug Discovery Today, 28(9), 103737. https://doi.org/10.1016/j.drudis.2023.103737</w:t>
      </w:r>
    </w:p>
    <w:p>
      <w:pPr>
        <w:pStyle w:val="ListBullet"/>
        <w:spacing w:before="60"/>
      </w:pPr>
      <w:r>
        <w:t>R Core Team. (2024). R: A language and environment for statistical computing. R Foundation for Statistical Computing, Vienna, Austria.</w:t>
      </w:r>
    </w:p>
    <w:p>
      <w:pPr>
        <w:pStyle w:val="ListBullet"/>
        <w:spacing w:before="60"/>
      </w:pPr>
      <w:r>
        <w:t>Rosenbaum PR, Rubin DB. (1983). The central role of the propensity score in observational studies for causal effects. Biometrika, 70(1), 41–55.</w:t>
      </w:r>
    </w:p>
    <w:p>
      <w:pPr>
        <w:pStyle w:val="ListBullet"/>
        <w:spacing w:before="60"/>
      </w:pPr>
      <w:r>
        <w:t>Rubin DB. (1974). Estimating causal effects of treatments in randomized and nonrandomized studies. Journal of Educational Psychology, 66(5), 688–701.</w:t>
      </w:r>
    </w:p>
    <w:p>
      <w:pPr>
        <w:pStyle w:val="ListBullet"/>
        <w:spacing w:before="60"/>
      </w:pPr>
      <w:r>
        <w:t>Teboul A. (2021). CDC Diabetes Health Indicators Dataset. Kaggle. https://www.kaggle.com/datasets/prosperchuks/health-dataset</w:t>
      </w:r>
    </w:p>
    <w:p>
      <w:pPr>
        <w:pStyle w:val="ListBullet"/>
        <w:spacing w:before="60"/>
      </w:pPr>
      <w:r>
        <w:t>Wickham H, et al. (2019). Welcome to the tidyverse. Journal of Open Source Software, 4(43), 1686.</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