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7A8AB">
      <w:pPr>
        <w:pStyle w:val="4"/>
        <w:jc w:val="center"/>
        <w:rPr>
          <w:b/>
          <w:bCs/>
          <w:i w:val="0"/>
          <w:iCs w:val="0"/>
          <w:color w:val="auto"/>
          <w:sz w:val="40"/>
          <w:szCs w:val="40"/>
        </w:rPr>
      </w:pPr>
      <w:bookmarkStart w:id="0" w:name="人工智能前沿技术综述"/>
      <w:r>
        <w:rPr>
          <w:b/>
          <w:bCs/>
          <w:i w:val="0"/>
          <w:iCs w:val="0"/>
          <w:color w:val="auto"/>
          <w:sz w:val="40"/>
          <w:szCs w:val="40"/>
        </w:rPr>
        <w:t>人工智能前沿技术综述</w:t>
      </w:r>
    </w:p>
    <w:p w14:paraId="6E216C8E">
      <w:pPr>
        <w:pStyle w:val="3"/>
        <w:jc w:val="center"/>
        <w:rPr>
          <w:rFonts w:hint="default" w:eastAsia="宋体"/>
          <w:lang w:val="en-US" w:eastAsia="zh-CN"/>
        </w:rPr>
      </w:pPr>
      <w:r>
        <w:rPr>
          <w:rFonts w:hint="eastAsia" w:eastAsia="宋体"/>
          <w:b/>
          <w:bCs/>
          <w:i w:val="0"/>
          <w:iCs w:val="0"/>
          <w:color w:val="auto"/>
          <w:lang w:val="en-US" w:eastAsia="zh-CN"/>
        </w:rPr>
        <w:t>周轩瑜 202330335261</w:t>
      </w:r>
    </w:p>
    <w:p w14:paraId="34F4C811">
      <w:pPr>
        <w:pStyle w:val="5"/>
        <w:rPr>
          <w:b/>
          <w:bCs/>
          <w:i w:val="0"/>
          <w:iCs w:val="0"/>
          <w:color w:val="auto"/>
          <w:sz w:val="28"/>
          <w:szCs w:val="28"/>
        </w:rPr>
      </w:pPr>
      <w:bookmarkStart w:id="1" w:name="第一章-大模型技术的演进背景与现状分析"/>
      <w:r>
        <w:rPr>
          <w:rFonts w:hint="eastAsia"/>
          <w:b/>
          <w:bCs/>
          <w:i w:val="0"/>
          <w:iCs w:val="0"/>
          <w:color w:val="auto"/>
          <w:sz w:val="28"/>
          <w:szCs w:val="28"/>
          <w:lang w:val="en-US" w:eastAsia="zh-CN"/>
        </w:rPr>
        <w:t>一、</w:t>
      </w:r>
      <w:r>
        <w:rPr>
          <w:b/>
          <w:bCs/>
          <w:i w:val="0"/>
          <w:iCs w:val="0"/>
          <w:color w:val="auto"/>
          <w:sz w:val="28"/>
          <w:szCs w:val="28"/>
        </w:rPr>
        <w:t>大模型技术的演进背景与现状分析</w:t>
      </w:r>
    </w:p>
    <w:p w14:paraId="65B5F648">
      <w:pPr>
        <w:pStyle w:val="6"/>
        <w:rPr>
          <w:b/>
          <w:bCs/>
          <w:i w:val="0"/>
          <w:iCs w:val="0"/>
          <w:color w:val="auto"/>
        </w:rPr>
      </w:pPr>
      <w:bookmarkStart w:id="2" w:name="从文本生成到通用认知基础设施的跨越"/>
      <w:r>
        <w:rPr>
          <w:b/>
          <w:bCs/>
          <w:i w:val="0"/>
          <w:iCs w:val="0"/>
          <w:color w:val="auto"/>
        </w:rPr>
        <w:t>1.1 从文本生成到通用认知基础设施的跨越</w:t>
      </w:r>
    </w:p>
    <w:p w14:paraId="43BF0622">
      <w:pPr>
        <w:pStyle w:val="23"/>
        <w:rPr>
          <w:b w:val="0"/>
          <w:bCs w:val="0"/>
          <w:i w:val="0"/>
          <w:iCs w:val="0"/>
          <w:color w:val="auto"/>
        </w:rPr>
      </w:pPr>
      <w:r>
        <w:rPr>
          <w:b w:val="0"/>
          <w:bCs w:val="0"/>
          <w:i w:val="0"/>
          <w:iCs w:val="0"/>
          <w:color w:val="auto"/>
        </w:rPr>
        <w:t>截至2025年末，回顾过去三年人工智能的发展历程，我们见证了信息技术史上最剧烈的范式转移。以Transformer架构为基石的大语言模型（LLM）已跨越了最初的“概率性文本生成”阶段，正式迈入“通用认知基础设施”的成熟期。在2023年，大模型尚被视为一种高效的聊天机器人或辅助写作工具；而今，随着模型参数量的进一步扩展、训练数据维度的多模态化以及推理能力（Chain of Thought）的显著增强，大模型已成为驱动数字世界运转的核心引擎。</w:t>
      </w:r>
    </w:p>
    <w:p w14:paraId="5CCD2AB5">
      <w:pPr>
        <w:pStyle w:val="3"/>
        <w:rPr>
          <w:b w:val="0"/>
          <w:bCs w:val="0"/>
          <w:i w:val="0"/>
          <w:iCs w:val="0"/>
          <w:color w:val="auto"/>
        </w:rPr>
      </w:pPr>
      <w:r>
        <w:rPr>
          <w:b w:val="0"/>
          <w:bCs w:val="0"/>
          <w:i w:val="0"/>
          <w:iCs w:val="0"/>
          <w:color w:val="auto"/>
        </w:rPr>
        <w:t>这种跨越主要体现在两个维度：一是交互深度的质变，AI不再仅仅是被动响应指令的工具，而是具备了理解复杂意图、拆解任务并调用外部工具的主动性智能体（Agent）；二是应用广度的泛化，大模型技术已成功“出圈”，从单一的计算机科学领域渗透至生命科学、工业制造、城市治理等实体产业深处。正如电力重塑了物理世界，大模型正在重塑数字世界的逻辑与生产关系，成为连接数据、算法与算力的关键纽带。</w:t>
      </w:r>
    </w:p>
    <w:bookmarkEnd w:id="2"/>
    <w:p w14:paraId="3B3905F3">
      <w:pPr>
        <w:pStyle w:val="6"/>
        <w:rPr>
          <w:b/>
          <w:bCs/>
          <w:i w:val="0"/>
          <w:iCs w:val="0"/>
          <w:color w:val="auto"/>
        </w:rPr>
      </w:pPr>
      <w:bookmarkStart w:id="3" w:name="当前技术瓶颈与突破方向"/>
      <w:r>
        <w:rPr>
          <w:b/>
          <w:bCs/>
          <w:i w:val="0"/>
          <w:iCs w:val="0"/>
          <w:color w:val="auto"/>
        </w:rPr>
        <w:t>1.2 当前技术瓶颈与突破方向</w:t>
      </w:r>
    </w:p>
    <w:p w14:paraId="73BC1860">
      <w:pPr>
        <w:pStyle w:val="23"/>
        <w:rPr>
          <w:b w:val="0"/>
          <w:bCs w:val="0"/>
          <w:i w:val="0"/>
          <w:iCs w:val="0"/>
          <w:color w:val="auto"/>
        </w:rPr>
      </w:pPr>
      <w:r>
        <w:rPr>
          <w:b w:val="0"/>
          <w:bCs w:val="0"/>
          <w:i w:val="0"/>
          <w:iCs w:val="0"/>
          <w:color w:val="auto"/>
        </w:rPr>
        <w:t>尽管大模型展现出惊人的潜力，但在2025年的当下，我们仍面临诸多技术与工程挑战，这些挑战也正是推动技术迭代的动力。首先是“幻觉”问题与可信度，虽然通过检索增强生成（RAG）和强化学习（RLHF）等技术已大幅缓解，但在医疗、法律等高容错率极低的领域，如何实现100%的事实准确性仍是研究热点。其次是算力能耗与模型效率的矛盾，随着模型规模逼近万亿参数，如何在边缘设备上部署轻量化模型，以及如何降低训练与推理的巨大能耗，成为实现普惠AI的关键。</w:t>
      </w:r>
    </w:p>
    <w:p w14:paraId="48B31F9B">
      <w:pPr>
        <w:pStyle w:val="3"/>
        <w:rPr>
          <w:b w:val="0"/>
          <w:bCs w:val="0"/>
          <w:i w:val="0"/>
          <w:iCs w:val="0"/>
          <w:color w:val="auto"/>
        </w:rPr>
      </w:pPr>
      <w:r>
        <w:rPr>
          <w:b w:val="0"/>
          <w:bCs w:val="0"/>
          <w:i w:val="0"/>
          <w:iCs w:val="0"/>
          <w:color w:val="auto"/>
        </w:rPr>
        <w:t>此外，多模态融合正处于爆发前夜。当前的顶尖模型已能流畅处理图文音视频，但对于触觉、嗅觉以及物理世界三维空间的理解仍处于初级阶段。突破这些感知边界，将是实现具身智能（Embodied AI）和物理世界自动化的必经之路。</w:t>
      </w:r>
    </w:p>
    <w:bookmarkEnd w:id="3"/>
    <w:p w14:paraId="2A57DC91">
      <w:pPr>
        <w:pStyle w:val="6"/>
        <w:rPr>
          <w:b/>
          <w:bCs/>
          <w:i w:val="0"/>
          <w:iCs w:val="0"/>
          <w:color w:val="auto"/>
        </w:rPr>
      </w:pPr>
      <w:bookmarkStart w:id="4" w:name="本报告的研究框架与意义"/>
      <w:r>
        <w:rPr>
          <w:b/>
          <w:bCs/>
          <w:i w:val="0"/>
          <w:iCs w:val="0"/>
          <w:color w:val="auto"/>
        </w:rPr>
        <w:t>1.3 本报告的研究框架与意义</w:t>
      </w:r>
    </w:p>
    <w:p w14:paraId="611A9611">
      <w:pPr>
        <w:pStyle w:val="23"/>
        <w:rPr>
          <w:b w:val="0"/>
          <w:bCs w:val="0"/>
          <w:i w:val="0"/>
          <w:iCs w:val="0"/>
          <w:color w:val="auto"/>
        </w:rPr>
      </w:pPr>
      <w:r>
        <w:rPr>
          <w:b w:val="0"/>
          <w:bCs w:val="0"/>
          <w:i w:val="0"/>
          <w:iCs w:val="0"/>
          <w:color w:val="auto"/>
        </w:rPr>
        <w:t xml:space="preserve">基于上述背景，本报告旨在深入探讨大模型技术在特定垂直领域的颠覆性应用及其对软件工程学科的深远影响。报告将首先聚焦于生命科学与理性设计以及通用智能体两大前沿应用，分析AI如何从底层改变科学发现与工业决策的逻辑；随后，结合笔者对AI技术本质的理解，展望未来五年可能出现的大规模应用场景，如嗅觉数字化与情绪热区地图；最后，重点剖析这一技术浪潮对软件工程专业人才培养及产业分工的重构作用。通过系统的分析与展望，试图为身处技术变革中心的我们提供一份关于未来的理性认知地图。 </w:t>
      </w:r>
    </w:p>
    <w:p w14:paraId="051AB0AE">
      <w:pPr>
        <w:pStyle w:val="23"/>
        <w:numPr>
          <w:ilvl w:val="0"/>
          <w:numId w:val="1"/>
        </w:numPr>
        <w:rPr>
          <w:b/>
          <w:bCs/>
          <w:i w:val="0"/>
          <w:iCs w:val="0"/>
          <w:color w:val="auto"/>
          <w:sz w:val="28"/>
          <w:szCs w:val="28"/>
        </w:rPr>
      </w:pPr>
      <w:r>
        <w:rPr>
          <w:b/>
          <w:bCs/>
          <w:i w:val="0"/>
          <w:iCs w:val="0"/>
          <w:color w:val="auto"/>
          <w:sz w:val="28"/>
          <w:szCs w:val="28"/>
        </w:rPr>
        <w:t>大模型的未来颠覆性应用</w:t>
      </w:r>
    </w:p>
    <w:p w14:paraId="3F666825">
      <w:pPr>
        <w:pStyle w:val="23"/>
        <w:numPr>
          <w:ilvl w:val="0"/>
          <w:numId w:val="0"/>
        </w:numPr>
        <w:rPr>
          <w:b w:val="0"/>
          <w:bCs w:val="0"/>
          <w:i w:val="0"/>
          <w:iCs w:val="0"/>
          <w:color w:val="auto"/>
        </w:rPr>
      </w:pPr>
      <w:r>
        <w:rPr>
          <w:b/>
          <w:bCs/>
          <w:i w:val="0"/>
          <w:iCs w:val="0"/>
          <w:color w:val="auto"/>
        </w:rPr>
        <w:t>2.1 颠覆性应用一</w:t>
      </w:r>
      <w:r>
        <w:rPr>
          <w:b w:val="0"/>
          <w:bCs w:val="0"/>
          <w:i w:val="0"/>
          <w:iCs w:val="0"/>
          <w:color w:val="auto"/>
        </w:rPr>
        <w:t>：AI驱动的生命科学与理性设计——结合诺奖领域的深度分析</w:t>
      </w:r>
    </w:p>
    <w:p w14:paraId="15DD3A7C">
      <w:pPr>
        <w:pStyle w:val="3"/>
        <w:rPr>
          <w:b w:val="0"/>
          <w:bCs w:val="0"/>
          <w:i w:val="0"/>
          <w:iCs w:val="0"/>
          <w:color w:val="auto"/>
        </w:rPr>
      </w:pPr>
      <w:r>
        <w:rPr>
          <w:b w:val="0"/>
          <w:bCs w:val="0"/>
          <w:i w:val="0"/>
          <w:iCs w:val="0"/>
          <w:color w:val="auto"/>
        </w:rPr>
        <w:t>在结构生物学领域，诺贝尔化学奖曾多次表彰在高精度结构解析方法上的突破。然而，传统的湿法实验耗时巨大。当前，基于大模型和深度学习的工具已能以极高准确性预测和设计蛋白质、抗体和酶的三维结构。这种能力使得科学研究从耗时试错的实验法转变为高效预测的计算设计法。AI可以直接生成具有特定催化活性、结合位点或稳定性的新型蛋白质。这种基于计算的理性工程，正在加速新药开发、工业酶催化剂、乃至生物材料的发现过程，从根本上改变了我们对生命“积木”的设计和利用方式。</w:t>
      </w:r>
    </w:p>
    <w:p w14:paraId="5D3B6332">
      <w:pPr>
        <w:pStyle w:val="3"/>
        <w:rPr>
          <w:b w:val="0"/>
          <w:bCs w:val="0"/>
          <w:i w:val="0"/>
          <w:iCs w:val="0"/>
          <w:color w:val="auto"/>
        </w:rPr>
      </w:pPr>
      <w:r>
        <w:rPr>
          <w:b w:val="0"/>
          <w:bCs w:val="0"/>
          <w:i w:val="0"/>
          <w:iCs w:val="0"/>
          <w:color w:val="auto"/>
        </w:rPr>
        <w:t>在诺贝尔医学奖所聚焦的基因编辑、细胞疗法和核酸技术等前沿领域，大模型的应用展现出无可比拟的精准化潜力。例如，在基因编辑系统的应用中，AI Agent能够分析海量基因组数据，精确预测和筛选出最具效率、脱靶效应最低的指导RNA靶点。这不仅极大地提高了基因治疗的安全性和有效性，也使过去依赖大规模人工筛选的流程得以自动化。</w:t>
      </w:r>
    </w:p>
    <w:bookmarkEnd w:id="4"/>
    <w:p w14:paraId="73968AAD">
      <w:pPr>
        <w:pStyle w:val="6"/>
        <w:rPr>
          <w:b w:val="0"/>
          <w:bCs w:val="0"/>
          <w:i w:val="0"/>
          <w:iCs w:val="0"/>
          <w:color w:val="auto"/>
        </w:rPr>
      </w:pPr>
      <w:bookmarkStart w:id="5" w:name="颠覆性应用二通用智能体与自动化决策"/>
      <w:r>
        <w:rPr>
          <w:b/>
          <w:bCs/>
          <w:i w:val="0"/>
          <w:iCs w:val="0"/>
          <w:color w:val="auto"/>
        </w:rPr>
        <w:t>2.2 颠覆性应用二</w:t>
      </w:r>
      <w:r>
        <w:rPr>
          <w:b w:val="0"/>
          <w:bCs w:val="0"/>
          <w:i w:val="0"/>
          <w:iCs w:val="0"/>
          <w:color w:val="auto"/>
        </w:rPr>
        <w:t>：通用智能体与自动化决策</w:t>
      </w:r>
    </w:p>
    <w:p w14:paraId="74A79C70">
      <w:pPr>
        <w:pStyle w:val="23"/>
        <w:rPr>
          <w:b w:val="0"/>
          <w:bCs w:val="0"/>
          <w:i w:val="0"/>
          <w:iCs w:val="0"/>
          <w:color w:val="auto"/>
        </w:rPr>
      </w:pPr>
      <w:r>
        <w:rPr>
          <w:b w:val="0"/>
          <w:bCs w:val="0"/>
          <w:i w:val="0"/>
          <w:iCs w:val="0"/>
          <w:color w:val="auto"/>
        </w:rPr>
        <w:t>通用智能体在工业和商业领域的应用，正在实现对传统流程的彻底重构。例如，在工业自动化场景中，RL驱动的智能体能够通过与数字孪生环境的持续交互学习，自主优化生产线调度、能源消耗策略或复杂设备的维护流程。这种优化并非基于人类专家的既有知识，而是通过奖励机制在数百万次的模拟中习得的，往往能发现超越人类经验的最优解。</w:t>
      </w:r>
    </w:p>
    <w:p w14:paraId="03E33DCA">
      <w:pPr>
        <w:pStyle w:val="3"/>
        <w:rPr>
          <w:b w:val="0"/>
          <w:bCs w:val="0"/>
          <w:i w:val="0"/>
          <w:iCs w:val="0"/>
          <w:color w:val="auto"/>
        </w:rPr>
      </w:pPr>
      <w:r>
        <w:rPr>
          <w:b w:val="0"/>
          <w:bCs w:val="0"/>
          <w:i w:val="0"/>
          <w:iCs w:val="0"/>
          <w:color w:val="auto"/>
        </w:rPr>
        <w:t>为了确保智能体的决策准确性和知识的时效性，最新的技术趋势是将大模型与检索增强生成相结合，尤其是在处理工业数据库等私有知识资产时。智能体利用LLM进行规划，并利用RAG技术从企业内部的文档、历史故障报告、或专有数据库中实时检索精确信息，作为其决策的依据和行动的输入。这有效解决了大模型知识滞后和“幻觉”问题，使其能够在金融风控、复杂系统故障排除或战略采购等需要高度准确性和专业知识的场景中，实现跨系统、跨部门的自动化复杂任务执行，从而彻底取代现有的多级人工审批和协调流程。通用智能体结合RL和RAG，标志着企业自动化从执行层面迈向战略决策层面。</w:t>
      </w:r>
    </w:p>
    <w:bookmarkEnd w:id="1"/>
    <w:bookmarkEnd w:id="5"/>
    <w:p w14:paraId="28583BB4">
      <w:pPr>
        <w:pStyle w:val="5"/>
        <w:rPr>
          <w:b/>
          <w:bCs/>
          <w:i w:val="0"/>
          <w:iCs w:val="0"/>
          <w:color w:val="auto"/>
          <w:sz w:val="28"/>
          <w:szCs w:val="28"/>
        </w:rPr>
      </w:pPr>
      <w:bookmarkStart w:id="6" w:name="第三章-人工智能技术与应用理解及未来展望"/>
      <w:r>
        <w:rPr>
          <w:rFonts w:hint="eastAsia"/>
          <w:b/>
          <w:bCs/>
          <w:i w:val="0"/>
          <w:iCs w:val="0"/>
          <w:color w:val="auto"/>
          <w:sz w:val="28"/>
          <w:szCs w:val="28"/>
          <w:lang w:val="en-US" w:eastAsia="zh-CN"/>
        </w:rPr>
        <w:t>三、</w:t>
      </w:r>
      <w:r>
        <w:rPr>
          <w:b/>
          <w:bCs/>
          <w:i w:val="0"/>
          <w:iCs w:val="0"/>
          <w:color w:val="auto"/>
          <w:sz w:val="28"/>
          <w:szCs w:val="28"/>
        </w:rPr>
        <w:t>人工智能技术与应用理解及未来展望</w:t>
      </w:r>
    </w:p>
    <w:p w14:paraId="2F8D3947">
      <w:pPr>
        <w:pStyle w:val="6"/>
        <w:rPr>
          <w:b/>
          <w:bCs/>
          <w:i w:val="0"/>
          <w:iCs w:val="0"/>
          <w:color w:val="auto"/>
        </w:rPr>
      </w:pPr>
      <w:bookmarkStart w:id="7" w:name="对人工智能技术及应用的理解和感想"/>
      <w:r>
        <w:rPr>
          <w:b/>
          <w:bCs/>
          <w:i w:val="0"/>
          <w:iCs w:val="0"/>
          <w:color w:val="auto"/>
        </w:rPr>
        <w:t>3.1 对人工智能技术及应用的理解和感想</w:t>
      </w:r>
    </w:p>
    <w:p w14:paraId="0FBC77DB">
      <w:pPr>
        <w:pStyle w:val="7"/>
        <w:rPr>
          <w:b/>
          <w:bCs/>
          <w:i w:val="0"/>
          <w:iCs w:val="0"/>
          <w:color w:val="auto"/>
        </w:rPr>
      </w:pPr>
      <w:bookmarkStart w:id="8" w:name="对人工智能技术本质的理解"/>
      <w:r>
        <w:rPr>
          <w:b/>
          <w:bCs/>
          <w:i w:val="0"/>
          <w:iCs w:val="0"/>
          <w:color w:val="auto"/>
        </w:rPr>
        <w:t>3.1.1 对人工智能技术本质的理解</w:t>
      </w:r>
    </w:p>
    <w:p w14:paraId="002BFF79">
      <w:pPr>
        <w:pStyle w:val="23"/>
        <w:rPr>
          <w:b w:val="0"/>
          <w:bCs w:val="0"/>
          <w:i w:val="0"/>
          <w:iCs w:val="0"/>
          <w:color w:val="auto"/>
        </w:rPr>
      </w:pPr>
      <w:r>
        <w:rPr>
          <w:b w:val="0"/>
          <w:bCs w:val="0"/>
          <w:i w:val="0"/>
          <w:iCs w:val="0"/>
          <w:color w:val="auto"/>
        </w:rPr>
        <w:t>人工智能的本质，可以被概括为对基于数据和算法的模式识别与智能决策的实现。当前以大模型为代表的AI浪潮，其核心驱动力是算力、数据和算法模型这三大要素的协同发展。在算法层面，当前大模型主要存在两种核心范式：</w:t>
      </w:r>
    </w:p>
    <w:p w14:paraId="7EE42310">
      <w:pPr>
        <w:pStyle w:val="24"/>
        <w:numPr>
          <w:ilvl w:val="0"/>
          <w:numId w:val="2"/>
        </w:numPr>
        <w:rPr>
          <w:b w:val="0"/>
          <w:bCs w:val="0"/>
          <w:i w:val="0"/>
          <w:iCs w:val="0"/>
          <w:color w:val="auto"/>
        </w:rPr>
      </w:pPr>
      <w:r>
        <w:rPr>
          <w:b w:val="0"/>
          <w:bCs w:val="0"/>
          <w:i w:val="0"/>
          <w:iCs w:val="0"/>
          <w:color w:val="auto"/>
        </w:rPr>
        <w:t>自回归范式： 这是以GPT系列为代表的语言模型的基石。其基本原理是通过计算条件概率，根据已生成的内容序列预测下一个词元。若用数学表达，即</w:t>
      </w:r>
      <m:oMath>
        <m:r>
          <m:rPr>
            <m:sty m:val="p"/>
          </m:rPr>
          <w:rPr>
            <w:rFonts w:hint="default" w:ascii="Cambria Math" w:hAnsi="Cambria Math"/>
            <w:color w:val="auto"/>
          </w:rPr>
          <m:t>P</m:t>
        </m:r>
        <m:d>
          <m:dPr>
            <m:sepChr m:val=""/>
            <m:ctrlPr>
              <w:rPr>
                <w:rFonts w:ascii="Cambria Math" w:hAnsi="Cambria Math"/>
                <w:b w:val="0"/>
                <w:bCs w:val="0"/>
                <w:i w:val="0"/>
                <w:iCs w:val="0"/>
                <w:color w:val="auto"/>
              </w:rPr>
            </m:ctrlPr>
          </m:dPr>
          <m:e>
            <m:sSub>
              <m:sSubPr>
                <m:ctrlPr>
                  <w:rPr>
                    <w:rFonts w:ascii="Cambria Math" w:hAnsi="Cambria Math"/>
                    <w:b w:val="0"/>
                    <w:bCs w:val="0"/>
                    <w:i w:val="0"/>
                    <w:iCs w:val="0"/>
                    <w:color w:val="auto"/>
                  </w:rPr>
                </m:ctrlPr>
              </m:sSubPr>
              <m:e>
                <m:r>
                  <m:rPr>
                    <m:sty m:val="p"/>
                  </m:rPr>
                  <w:rPr>
                    <w:rFonts w:hint="default" w:ascii="Cambria Math" w:hAnsi="Cambria Math"/>
                    <w:color w:val="auto"/>
                  </w:rPr>
                  <m:t>x</m:t>
                </m:r>
                <m:ctrlPr>
                  <w:rPr>
                    <w:rFonts w:ascii="Cambria Math" w:hAnsi="Cambria Math"/>
                    <w:b w:val="0"/>
                    <w:bCs w:val="0"/>
                    <w:i w:val="0"/>
                    <w:iCs w:val="0"/>
                    <w:color w:val="auto"/>
                  </w:rPr>
                </m:ctrlPr>
              </m:e>
              <m:sub>
                <m:r>
                  <m:rPr>
                    <m:sty m:val="p"/>
                  </m:rPr>
                  <w:rPr>
                    <w:rFonts w:hint="default" w:ascii="Cambria Math" w:hAnsi="Cambria Math"/>
                    <w:color w:val="auto"/>
                  </w:rPr>
                  <m:t>t</m:t>
                </m:r>
                <m:ctrlPr>
                  <w:rPr>
                    <w:rFonts w:ascii="Cambria Math" w:hAnsi="Cambria Math"/>
                    <w:b w:val="0"/>
                    <w:bCs w:val="0"/>
                    <w:i w:val="0"/>
                    <w:iCs w:val="0"/>
                    <w:color w:val="auto"/>
                  </w:rPr>
                </m:ctrlPr>
              </m:sub>
            </m:sSub>
            <m:r>
              <m:rPr>
                <m:sty m:val="p"/>
              </m:rPr>
              <w:rPr>
                <w:rFonts w:ascii="Cambria Math" w:hAnsi="Cambria Math"/>
                <w:color w:val="auto"/>
              </w:rPr>
              <m:t>|</m:t>
            </m:r>
            <m:sSub>
              <m:sSubPr>
                <m:ctrlPr>
                  <w:rPr>
                    <w:rFonts w:ascii="Cambria Math" w:hAnsi="Cambria Math"/>
                    <w:b w:val="0"/>
                    <w:bCs w:val="0"/>
                    <w:i w:val="0"/>
                    <w:iCs w:val="0"/>
                    <w:color w:val="auto"/>
                  </w:rPr>
                </m:ctrlPr>
              </m:sSubPr>
              <m:e>
                <m:r>
                  <m:rPr>
                    <m:sty m:val="p"/>
                  </m:rPr>
                  <w:rPr>
                    <w:rFonts w:hint="default" w:ascii="Cambria Math" w:hAnsi="Cambria Math"/>
                    <w:color w:val="auto"/>
                  </w:rPr>
                  <m:t>x</m:t>
                </m:r>
                <m:ctrlPr>
                  <w:rPr>
                    <w:rFonts w:ascii="Cambria Math" w:hAnsi="Cambria Math"/>
                    <w:b w:val="0"/>
                    <w:bCs w:val="0"/>
                    <w:i w:val="0"/>
                    <w:iCs w:val="0"/>
                    <w:color w:val="auto"/>
                  </w:rPr>
                </m:ctrlPr>
              </m:e>
              <m:sub>
                <m:r>
                  <m:rPr>
                    <m:sty m:val="p"/>
                  </m:rPr>
                  <w:rPr>
                    <w:rFonts w:ascii="Cambria Math" w:hAnsi="Cambria Math"/>
                    <w:color w:val="auto"/>
                  </w:rPr>
                  <m:t>&lt;</m:t>
                </m:r>
                <m:r>
                  <m:rPr>
                    <m:sty m:val="p"/>
                  </m:rPr>
                  <w:rPr>
                    <w:rFonts w:hint="default" w:ascii="Cambria Math" w:hAnsi="Cambria Math"/>
                    <w:color w:val="auto"/>
                  </w:rPr>
                  <m:t>t</m:t>
                </m:r>
                <m:ctrlPr>
                  <w:rPr>
                    <w:rFonts w:ascii="Cambria Math" w:hAnsi="Cambria Math"/>
                    <w:b w:val="0"/>
                    <w:bCs w:val="0"/>
                    <w:i w:val="0"/>
                    <w:iCs w:val="0"/>
                    <w:color w:val="auto"/>
                  </w:rPr>
                </m:ctrlPr>
              </m:sub>
            </m:sSub>
            <m:ctrlPr>
              <w:rPr>
                <w:rFonts w:ascii="Cambria Math" w:hAnsi="Cambria Math"/>
                <w:b w:val="0"/>
                <w:bCs w:val="0"/>
                <w:i w:val="0"/>
                <w:iCs w:val="0"/>
                <w:color w:val="auto"/>
              </w:rPr>
            </m:ctrlPr>
          </m:e>
        </m:d>
      </m:oMath>
      <w:r>
        <w:rPr>
          <w:b w:val="0"/>
          <w:bCs w:val="0"/>
          <w:i w:val="0"/>
          <w:iCs w:val="0"/>
          <w:color w:val="auto"/>
        </w:rPr>
        <w:t>，其中</w:t>
      </w:r>
      <m:oMath>
        <m:sSub>
          <m:sSubPr>
            <m:ctrlPr>
              <w:rPr>
                <w:rFonts w:ascii="Cambria Math" w:hAnsi="Cambria Math"/>
                <w:b w:val="0"/>
                <w:bCs w:val="0"/>
                <w:i w:val="0"/>
                <w:iCs w:val="0"/>
                <w:color w:val="auto"/>
              </w:rPr>
            </m:ctrlPr>
          </m:sSubPr>
          <m:e>
            <m:r>
              <m:rPr>
                <m:sty m:val="p"/>
              </m:rPr>
              <w:rPr>
                <w:rFonts w:hint="default" w:ascii="Cambria Math" w:hAnsi="Cambria Math"/>
                <w:color w:val="auto"/>
              </w:rPr>
              <m:t>x</m:t>
            </m:r>
            <m:ctrlPr>
              <w:rPr>
                <w:rFonts w:ascii="Cambria Math" w:hAnsi="Cambria Math"/>
                <w:b w:val="0"/>
                <w:bCs w:val="0"/>
                <w:i w:val="0"/>
                <w:iCs w:val="0"/>
                <w:color w:val="auto"/>
              </w:rPr>
            </m:ctrlPr>
          </m:e>
          <m:sub>
            <m:r>
              <m:rPr>
                <m:sty m:val="p"/>
              </m:rPr>
              <w:rPr>
                <w:rFonts w:hint="default" w:ascii="Cambria Math" w:hAnsi="Cambria Math"/>
                <w:color w:val="auto"/>
              </w:rPr>
              <m:t>t</m:t>
            </m:r>
            <m:ctrlPr>
              <w:rPr>
                <w:rFonts w:ascii="Cambria Math" w:hAnsi="Cambria Math"/>
                <w:b w:val="0"/>
                <w:bCs w:val="0"/>
                <w:i w:val="0"/>
                <w:iCs w:val="0"/>
                <w:color w:val="auto"/>
              </w:rPr>
            </m:ctrlPr>
          </m:sub>
        </m:sSub>
      </m:oMath>
      <w:r>
        <w:rPr>
          <w:b w:val="0"/>
          <w:bCs w:val="0"/>
          <w:i w:val="0"/>
          <w:iCs w:val="0"/>
          <w:color w:val="auto"/>
        </w:rPr>
        <w:t>是时间步</w:t>
      </w:r>
      <m:oMath>
        <m:r>
          <m:rPr>
            <m:sty m:val="p"/>
          </m:rPr>
          <w:rPr>
            <w:rFonts w:hint="default" w:ascii="Cambria Math" w:hAnsi="Cambria Math"/>
            <w:color w:val="auto"/>
          </w:rPr>
          <m:t>t</m:t>
        </m:r>
      </m:oMath>
      <w:r>
        <w:rPr>
          <w:b w:val="0"/>
          <w:bCs w:val="0"/>
          <w:i w:val="0"/>
          <w:iCs w:val="0"/>
          <w:color w:val="auto"/>
        </w:rPr>
        <w:t>的输出。这种范式擅长处理序列数据，实现文本生成、代码编写和复杂的逻辑推理。</w:t>
      </w:r>
    </w:p>
    <w:p w14:paraId="2C6FED9F">
      <w:pPr>
        <w:pStyle w:val="24"/>
        <w:numPr>
          <w:ilvl w:val="0"/>
          <w:numId w:val="2"/>
        </w:numPr>
        <w:rPr>
          <w:b w:val="0"/>
          <w:bCs w:val="0"/>
          <w:i w:val="0"/>
          <w:iCs w:val="0"/>
          <w:color w:val="auto"/>
        </w:rPr>
      </w:pPr>
      <w:r>
        <w:rPr>
          <w:b w:val="0"/>
          <w:bCs w:val="0"/>
          <w:i w:val="0"/>
          <w:iCs w:val="0"/>
          <w:color w:val="auto"/>
        </w:rPr>
        <w:t>扩散范式： 这是在图像和多模态生成领域占据主导地位的范式。其基本原理是模拟一个马尔可夫链，将数据逐步转化为噪声，然后学习逆向过程，从噪声中恢复出原始数据。这种模型在生成高保真度、多样化的图像和多媒体内容方面表现卓越。</w:t>
      </w:r>
    </w:p>
    <w:bookmarkEnd w:id="8"/>
    <w:p w14:paraId="340D6348">
      <w:pPr>
        <w:pStyle w:val="7"/>
        <w:rPr>
          <w:b/>
          <w:bCs/>
          <w:i w:val="0"/>
          <w:iCs w:val="0"/>
          <w:color w:val="auto"/>
        </w:rPr>
      </w:pPr>
      <w:bookmarkStart w:id="9" w:name="个人感想机遇与挑战的辩证思考"/>
      <w:r>
        <w:rPr>
          <w:b/>
          <w:bCs/>
          <w:i w:val="0"/>
          <w:iCs w:val="0"/>
          <w:color w:val="auto"/>
        </w:rPr>
        <w:t>3.1.2 个人感想：机遇与挑战的辩证思考</w:t>
      </w:r>
    </w:p>
    <w:p w14:paraId="0E48B16A">
      <w:pPr>
        <w:pStyle w:val="23"/>
        <w:rPr>
          <w:b w:val="0"/>
          <w:bCs w:val="0"/>
          <w:i w:val="0"/>
          <w:iCs w:val="0"/>
          <w:color w:val="auto"/>
        </w:rPr>
      </w:pPr>
      <w:r>
        <w:rPr>
          <w:b w:val="0"/>
          <w:bCs w:val="0"/>
          <w:i w:val="0"/>
          <w:iCs w:val="0"/>
          <w:color w:val="auto"/>
        </w:rPr>
        <w:t>（一）重塑生产力的重大机遇</w:t>
      </w:r>
    </w:p>
    <w:p w14:paraId="2920827F">
      <w:pPr>
        <w:pStyle w:val="3"/>
        <w:rPr>
          <w:b w:val="0"/>
          <w:bCs w:val="0"/>
          <w:i w:val="0"/>
          <w:iCs w:val="0"/>
          <w:color w:val="auto"/>
        </w:rPr>
      </w:pPr>
      <w:r>
        <w:rPr>
          <w:b w:val="0"/>
          <w:bCs w:val="0"/>
          <w:i w:val="0"/>
          <w:iCs w:val="0"/>
          <w:color w:val="auto"/>
        </w:rPr>
        <w:t>个人认为，人工智能，尤其是具备通用能力的AI Agent，正成为继蒸汽机、电力和互联网之后的通用目的技术。对我们软件工程专业的学生而言，AI带来的最大机遇在于生产力的解放与学习焦点的转移。AI工具可以高效地完成基础工具的配置、重复性的编码任务、乃至单元测试的撰写，从而极大地减少学生在学习过程中“拘泥于代码细节”的时间投入。我们得以将宝贵的精力聚焦于更高级的认知活动，如：深入理解软件架构的宏观设计、掌握核心算法的思想、提升抽象能力以及解决复杂系统的集成问题。AI将使未来的软件工程师从“代码工人”转变为“系统思想家”和“AI指挥家”。</w:t>
      </w:r>
    </w:p>
    <w:p w14:paraId="70899892">
      <w:pPr>
        <w:pStyle w:val="3"/>
        <w:rPr>
          <w:b w:val="0"/>
          <w:bCs w:val="0"/>
          <w:i w:val="0"/>
          <w:iCs w:val="0"/>
          <w:color w:val="auto"/>
        </w:rPr>
      </w:pPr>
      <w:r>
        <w:rPr>
          <w:b w:val="0"/>
          <w:bCs w:val="0"/>
          <w:i w:val="0"/>
          <w:iCs w:val="0"/>
          <w:color w:val="auto"/>
        </w:rPr>
        <w:t>（二）无法回避的严峻挑战</w:t>
      </w:r>
    </w:p>
    <w:p w14:paraId="60E04FC7">
      <w:pPr>
        <w:pStyle w:val="3"/>
        <w:rPr>
          <w:b w:val="0"/>
          <w:bCs w:val="0"/>
          <w:i w:val="0"/>
          <w:iCs w:val="0"/>
          <w:color w:val="auto"/>
        </w:rPr>
      </w:pPr>
      <w:r>
        <w:rPr>
          <w:b w:val="0"/>
          <w:bCs w:val="0"/>
          <w:i w:val="0"/>
          <w:iCs w:val="0"/>
          <w:color w:val="auto"/>
        </w:rPr>
        <w:t>伴随着机遇而来的是对整个社会和专业的严峻挑战。在伦理与社会层面，数据安全、隐私保护、算法偏见以及AI带来的结构性失业风险是必须正视的议题。特别是在工程应用中，AI生成的代码若存在安全漏洞或设计缺陷，其潜在的破坏性远超传统错误。对于学生个体而言，最大的挑战在于保持独立思考的能力。过度依赖AI工具生成答案和代码，将可能导致思维惰性和批判性思维的退化。未来的软件工程师不仅需要掌握AI技术，更需要具备质疑、验证和超越AI输出的能力，确保技术始终服务于人类的创新和价值创造。</w:t>
      </w:r>
    </w:p>
    <w:bookmarkEnd w:id="7"/>
    <w:bookmarkEnd w:id="9"/>
    <w:p w14:paraId="0B411F11">
      <w:pPr>
        <w:pStyle w:val="6"/>
        <w:rPr>
          <w:b/>
          <w:bCs/>
          <w:i w:val="0"/>
          <w:iCs w:val="0"/>
          <w:color w:val="auto"/>
        </w:rPr>
      </w:pPr>
      <w:bookmarkStart w:id="10" w:name="未来5年能大规模应用的人工智能技术和场景列举"/>
      <w:r>
        <w:rPr>
          <w:b/>
          <w:bCs/>
          <w:i w:val="0"/>
          <w:iCs w:val="0"/>
          <w:color w:val="auto"/>
        </w:rPr>
        <w:t>3.2 未来5年能大规模应用的人工智能技术和场景列举</w:t>
      </w:r>
    </w:p>
    <w:p w14:paraId="6E808340">
      <w:pPr>
        <w:pStyle w:val="7"/>
        <w:rPr>
          <w:b/>
          <w:bCs/>
          <w:i w:val="0"/>
          <w:iCs w:val="0"/>
          <w:color w:val="auto"/>
        </w:rPr>
      </w:pPr>
      <w:bookmarkStart w:id="11" w:name="大规模应用技术一超越视听的多模态ai"/>
      <w:r>
        <w:rPr>
          <w:b/>
          <w:bCs/>
          <w:i w:val="0"/>
          <w:iCs w:val="0"/>
          <w:color w:val="auto"/>
        </w:rPr>
        <w:t>3.2.1 大规模应用技术一：超越视听的多模态AI</w:t>
      </w:r>
    </w:p>
    <w:p w14:paraId="2E175BD0">
      <w:pPr>
        <w:pStyle w:val="23"/>
        <w:rPr>
          <w:b w:val="0"/>
          <w:bCs w:val="0"/>
          <w:i w:val="0"/>
          <w:iCs w:val="0"/>
          <w:color w:val="auto"/>
        </w:rPr>
      </w:pPr>
      <w:r>
        <w:rPr>
          <w:b w:val="0"/>
          <w:bCs w:val="0"/>
          <w:i w:val="0"/>
          <w:iCs w:val="0"/>
          <w:color w:val="auto"/>
        </w:rPr>
        <w:t>多模态AI已在处理文本和视觉数据方面展现出显著成效，但其未来的大规模应用将扩展至人类的全感知模态，尤其是嗅觉和触觉的数字化与智能化。这种扩展将为工业设计、医疗诊断和人机交互带来颠覆性变革。</w:t>
      </w:r>
    </w:p>
    <w:p w14:paraId="4E596B81">
      <w:pPr>
        <w:numPr>
          <w:ilvl w:val="0"/>
          <w:numId w:val="3"/>
        </w:numPr>
        <w:rPr>
          <w:b w:val="0"/>
          <w:bCs w:val="0"/>
          <w:i w:val="0"/>
          <w:iCs w:val="0"/>
          <w:color w:val="auto"/>
        </w:rPr>
      </w:pPr>
      <w:r>
        <w:rPr>
          <w:b w:val="0"/>
          <w:bCs w:val="0"/>
          <w:i w:val="0"/>
          <w:iCs w:val="0"/>
          <w:color w:val="auto"/>
        </w:rPr>
        <w:t>AI与嗅觉的数字化： 如Brian K. Lee等人的研究所示，利用图神经网络等AI模型已能构建主体气味图谱。该模型能够有效地将复杂的分子结构映射至人类感知到的气味质量。研究表明，AI生成的嗅觉图谱在预测未表征气味剂的气味特征方面，其可靠性已等同于甚至超越人类专家评审员的中位水平。这种技术为“气味数字化”铺平了道路，未来五年内将在食品与香精工业实现规模化应用，用于产品配方优化、质量控制和新香型的自动生成。在医疗诊断中，AI将能通过分析患者体味或呼吸中的挥发性有机化合物图谱，实现疾病的早期、非侵入性筛查。</w:t>
      </w:r>
    </w:p>
    <w:p w14:paraId="704EA647">
      <w:pPr>
        <w:numPr>
          <w:ilvl w:val="0"/>
          <w:numId w:val="3"/>
        </w:numPr>
        <w:rPr>
          <w:b w:val="0"/>
          <w:bCs w:val="0"/>
          <w:i w:val="0"/>
          <w:iCs w:val="0"/>
          <w:color w:val="auto"/>
        </w:rPr>
      </w:pPr>
      <w:r>
        <w:rPr>
          <w:b w:val="0"/>
          <w:bCs w:val="0"/>
          <w:i w:val="0"/>
          <w:iCs w:val="0"/>
          <w:color w:val="auto"/>
        </w:rPr>
        <w:t>AI与触觉的集成学习： 针对接触密集型的操作任务，如“Reactive Diffusion Policy”研究所提出的，AI开始将高频的触觉反馈融入慢速的高级任务规划中。该研究结合了视觉模仿学习和实时触觉反馈，利用一种新颖的慢-快层级算法，使得机器人能在进行复杂轨迹建模的同时，实现对实时接触力的快速响应和自适应控制。这一突破将使机器人和自动化系统能够胜任高精度的装配、手术辅助和精细分拣等任务。在未来工厂和智慧医疗中，具备视觉-触觉融合能力的智能体将实现高复杂度的柔性制造和远程高精度手术，大大拓展了自动化操作的边界。</w:t>
      </w:r>
    </w:p>
    <w:bookmarkEnd w:id="11"/>
    <w:p w14:paraId="5CAF5543">
      <w:pPr>
        <w:pStyle w:val="7"/>
        <w:rPr>
          <w:b/>
          <w:bCs/>
          <w:i w:val="0"/>
          <w:iCs w:val="0"/>
          <w:color w:val="auto"/>
        </w:rPr>
      </w:pPr>
      <w:bookmarkStart w:id="12" w:name="大规模应用技术二情绪热区地图与城市情绪管理"/>
      <w:r>
        <w:rPr>
          <w:b/>
          <w:bCs/>
          <w:i w:val="0"/>
          <w:iCs w:val="0"/>
          <w:color w:val="auto"/>
        </w:rPr>
        <w:t>3.2.2 大规模应用技术二：情绪热区地图与城市情绪管理</w:t>
      </w:r>
    </w:p>
    <w:p w14:paraId="72CF4591">
      <w:pPr>
        <w:pStyle w:val="23"/>
        <w:rPr>
          <w:b w:val="0"/>
          <w:bCs w:val="0"/>
          <w:i w:val="0"/>
          <w:iCs w:val="0"/>
          <w:color w:val="auto"/>
        </w:rPr>
      </w:pPr>
      <w:r>
        <w:rPr>
          <w:b w:val="0"/>
          <w:bCs w:val="0"/>
          <w:i w:val="0"/>
          <w:iCs w:val="0"/>
          <w:color w:val="auto"/>
        </w:rPr>
        <w:t>“情绪热区地图”的构建将依赖于部署在城市公共基础设施中的微表情识别与非接触式心率/生物信号AI模块。这些模块在保障数据匿名性的前提下，实时分析特定街区、特定时间段内的行人面部微表情、肢体语言和生理信号波动，匿名统计并计算出该区域的“情绪浓度”，例如焦虑指数、兴奋度、疲劳度等，最终形成一张动态、实时的城市情绪热图。</w:t>
      </w:r>
    </w:p>
    <w:p w14:paraId="4A5B6B5F">
      <w:pPr>
        <w:pStyle w:val="3"/>
        <w:rPr>
          <w:b w:val="0"/>
          <w:bCs w:val="0"/>
          <w:i w:val="0"/>
          <w:iCs w:val="0"/>
          <w:color w:val="auto"/>
        </w:rPr>
      </w:pPr>
      <w:r>
        <w:rPr>
          <w:b w:val="0"/>
          <w:bCs w:val="0"/>
          <w:i w:val="0"/>
          <w:iCs w:val="0"/>
          <w:color w:val="auto"/>
        </w:rPr>
        <w:t>这种技术将深刻颠覆城市管理、商业决策乃至公共安全领域：(1)政府部门将首次获得情绪的先验预警能力。通过监控特定区域的情绪浓度，系统可提前识别出“群体焦虑峰值”、“恐慌情绪扩散”或“潜在冲突前兆”。这使得城市管理者能够在群体事件爆发前介入干预、分流人流或部署安抚资源，实现从被动响应到主动预防的跨越。(2)这种情绪量化能力为商业决策提供了全新的维度。商家在选择铺面租金时，可以量化“开心指数高”或“兴奋消费情绪浓厚”的商业街区。例如，某购物中心在周末若能持续维持高“愉悦指数”，则其铺位租金将据此获得溢价。这使得商业地段的价值评估从传统的客流量指标，升级为可量化的消费情绪资本。(3)在更具人文关怀的应用中，情绪热区地图能够帮助社会服务机构识别出长期处于高压、高焦虑或低落情绪的社会热点区域，指导心理咨询、社区援助等资源进行精准投放，从而以数据驱动的方式改善城市居民的集体心理健康水平。</w:t>
      </w:r>
    </w:p>
    <w:bookmarkEnd w:id="6"/>
    <w:bookmarkEnd w:id="10"/>
    <w:bookmarkEnd w:id="12"/>
    <w:p w14:paraId="05FB73FB">
      <w:pPr>
        <w:pStyle w:val="5"/>
        <w:rPr>
          <w:b/>
          <w:bCs/>
          <w:i w:val="0"/>
          <w:iCs w:val="0"/>
          <w:color w:val="auto"/>
          <w:sz w:val="28"/>
          <w:szCs w:val="28"/>
        </w:rPr>
      </w:pPr>
      <w:bookmarkStart w:id="13" w:name="第四章-ai与智能体对软件工程的影响"/>
      <w:r>
        <w:rPr>
          <w:rFonts w:hint="eastAsia"/>
          <w:b/>
          <w:bCs/>
          <w:i w:val="0"/>
          <w:iCs w:val="0"/>
          <w:color w:val="auto"/>
          <w:sz w:val="28"/>
          <w:szCs w:val="28"/>
          <w:lang w:val="en-US" w:eastAsia="zh-CN"/>
        </w:rPr>
        <w:t>四、</w:t>
      </w:r>
      <w:r>
        <w:rPr>
          <w:b/>
          <w:bCs/>
          <w:i w:val="0"/>
          <w:iCs w:val="0"/>
          <w:color w:val="auto"/>
          <w:sz w:val="28"/>
          <w:szCs w:val="28"/>
        </w:rPr>
        <w:t xml:space="preserve"> AI与智能体对软件工程的影响</w:t>
      </w:r>
    </w:p>
    <w:p w14:paraId="566BFF65">
      <w:pPr>
        <w:pStyle w:val="6"/>
        <w:rPr>
          <w:b/>
          <w:bCs/>
          <w:i w:val="0"/>
          <w:iCs w:val="0"/>
          <w:color w:val="auto"/>
        </w:rPr>
      </w:pPr>
      <w:bookmarkStart w:id="14" w:name="对软件工程专业学习的影响"/>
      <w:r>
        <w:rPr>
          <w:b/>
          <w:bCs/>
          <w:i w:val="0"/>
          <w:iCs w:val="0"/>
          <w:color w:val="auto"/>
        </w:rPr>
        <w:t>4.1 对软件工程专业学习的影响</w:t>
      </w:r>
    </w:p>
    <w:p w14:paraId="52AEFFB2">
      <w:pPr>
        <w:pStyle w:val="7"/>
        <w:rPr>
          <w:b/>
          <w:bCs/>
          <w:i w:val="0"/>
          <w:iCs w:val="0"/>
          <w:color w:val="auto"/>
        </w:rPr>
      </w:pPr>
      <w:bookmarkStart w:id="15" w:name="学习内容的重构ai素养成为核心"/>
      <w:r>
        <w:rPr>
          <w:b/>
          <w:bCs/>
          <w:i w:val="0"/>
          <w:iCs w:val="0"/>
          <w:color w:val="auto"/>
        </w:rPr>
        <w:t>4.1.1 学习内容的重构：AI素养成为核心</w:t>
      </w:r>
    </w:p>
    <w:p w14:paraId="291780C3">
      <w:pPr>
        <w:pStyle w:val="23"/>
        <w:rPr>
          <w:b w:val="0"/>
          <w:bCs w:val="0"/>
          <w:i w:val="0"/>
          <w:iCs w:val="0"/>
          <w:color w:val="auto"/>
        </w:rPr>
      </w:pPr>
      <w:r>
        <w:rPr>
          <w:b w:val="0"/>
          <w:bCs w:val="0"/>
          <w:i w:val="0"/>
          <w:iCs w:val="0"/>
          <w:color w:val="auto"/>
        </w:rPr>
        <w:t>AI素养的地位将从选修或拓展内容上升为专业的核心基础。学生必须密切关注AI技术前沿内容，并掌握其基本框架和工作原理。学校需要在课程体系中迅速增加以下核心内容：(1)提示工程:这将成为与计算机语言同等重要的“自然语言编程”技能。学习如何高效、准确地与大模型沟通，是未来工程师获取AI算力的关键。(2)AI Agent的设计与管理： 随着智能体成为新的软件形态，学生需学习Agent的架构设计：感知、规划、记忆模块、任务分解、工具调用机制以及多Agent协作系统的构建与管理。(3)LLM调用接口与微调：掌握如何将大模型的能力通过API嵌入到实际应用中，并了解利用私有数据对模型进行轻量级微调以适应特定业务场景的技术。</w:t>
      </w:r>
    </w:p>
    <w:bookmarkEnd w:id="14"/>
    <w:bookmarkEnd w:id="15"/>
    <w:p w14:paraId="611A8F70">
      <w:pPr>
        <w:pStyle w:val="6"/>
        <w:rPr>
          <w:b/>
          <w:bCs/>
          <w:i w:val="0"/>
          <w:iCs w:val="0"/>
          <w:color w:val="auto"/>
        </w:rPr>
      </w:pPr>
      <w:bookmarkStart w:id="16" w:name="对未来软件产业的影响"/>
      <w:r>
        <w:rPr>
          <w:b/>
          <w:bCs/>
          <w:i w:val="0"/>
          <w:iCs w:val="0"/>
          <w:color w:val="auto"/>
        </w:rPr>
        <w:t>4.2 对未来软件产业的影响</w:t>
      </w:r>
    </w:p>
    <w:p w14:paraId="4E6B4D60">
      <w:pPr>
        <w:pStyle w:val="7"/>
        <w:rPr>
          <w:b/>
          <w:bCs/>
          <w:i w:val="0"/>
          <w:iCs w:val="0"/>
          <w:color w:val="auto"/>
        </w:rPr>
      </w:pPr>
      <w:bookmarkStart w:id="17" w:name="开发模式的根本性重塑与角色转变"/>
      <w:r>
        <w:rPr>
          <w:b/>
          <w:bCs/>
          <w:i w:val="0"/>
          <w:iCs w:val="0"/>
          <w:color w:val="auto"/>
        </w:rPr>
        <w:t>4.2.1 开发模式的根本性重塑与角色转变</w:t>
      </w:r>
    </w:p>
    <w:p w14:paraId="0603215B">
      <w:pPr>
        <w:pStyle w:val="23"/>
        <w:rPr>
          <w:b w:val="0"/>
          <w:bCs w:val="0"/>
          <w:i w:val="0"/>
          <w:iCs w:val="0"/>
          <w:color w:val="auto"/>
        </w:rPr>
      </w:pPr>
      <w:r>
        <w:rPr>
          <w:b w:val="0"/>
          <w:bCs w:val="0"/>
          <w:i w:val="0"/>
          <w:iCs w:val="0"/>
          <w:color w:val="auto"/>
        </w:rPr>
        <w:t>AI工具将接管大部分重复性、机械性的工作，导致开发周期大幅缩短。一个软件工程师在传统模式下需要三天完成的模块，现在可能只需半天。这种效率的提升意味着一个人的生产力将约等于过去一个小型团队。</w:t>
      </w:r>
    </w:p>
    <w:p w14:paraId="2B1E96F4">
      <w:pPr>
        <w:pStyle w:val="3"/>
        <w:rPr>
          <w:b w:val="0"/>
          <w:bCs w:val="0"/>
          <w:i w:val="0"/>
          <w:iCs w:val="0"/>
          <w:color w:val="auto"/>
        </w:rPr>
      </w:pPr>
      <w:r>
        <w:rPr>
          <w:b w:val="0"/>
          <w:bCs w:val="0"/>
          <w:i w:val="0"/>
          <w:iCs w:val="0"/>
          <w:color w:val="auto"/>
        </w:rPr>
        <w:t>随着AI接管基础编码，工程师将能够同时处理系统中的多个复杂环节。AI使得知识的获取成本趋近于零，这意味着未来成功的工程师必须具备跨越领域、掌握全局的能力。他们不再是专精于某一代码语言或某一模块的“螺丝钉”，而必须了解和掌握从需求分析、系统架构、跨栈集成、数据工程到安全运维等各个方面的知识。工程师的角色将从“代码编写者”升级为“系统集成者”和“AI工作流的指挥官”。</w:t>
      </w:r>
    </w:p>
    <w:bookmarkEnd w:id="13"/>
    <w:bookmarkEnd w:id="16"/>
    <w:bookmarkEnd w:id="17"/>
    <w:p w14:paraId="0004AE5B">
      <w:pPr>
        <w:pStyle w:val="5"/>
        <w:rPr>
          <w:b/>
          <w:bCs/>
          <w:i w:val="0"/>
          <w:iCs w:val="0"/>
          <w:color w:val="auto"/>
          <w:sz w:val="28"/>
          <w:szCs w:val="28"/>
        </w:rPr>
      </w:pPr>
      <w:bookmarkStart w:id="18" w:name="第五章-总结与展望迈向人机共生的新纪元"/>
      <w:r>
        <w:rPr>
          <w:rFonts w:hint="eastAsia"/>
          <w:b/>
          <w:bCs/>
          <w:i w:val="0"/>
          <w:iCs w:val="0"/>
          <w:color w:val="auto"/>
          <w:sz w:val="28"/>
          <w:szCs w:val="28"/>
          <w:lang w:val="en-US" w:eastAsia="zh-CN"/>
        </w:rPr>
        <w:t>五、</w:t>
      </w:r>
      <w:r>
        <w:rPr>
          <w:b/>
          <w:bCs/>
          <w:i w:val="0"/>
          <w:iCs w:val="0"/>
          <w:color w:val="auto"/>
          <w:sz w:val="28"/>
          <w:szCs w:val="28"/>
        </w:rPr>
        <w:t>总结与展望：迈向人机共生的新纪元</w:t>
      </w:r>
    </w:p>
    <w:p w14:paraId="0B968260">
      <w:pPr>
        <w:pStyle w:val="6"/>
        <w:rPr>
          <w:b/>
          <w:bCs/>
          <w:i w:val="0"/>
          <w:iCs w:val="0"/>
          <w:color w:val="auto"/>
        </w:rPr>
      </w:pPr>
      <w:bookmarkStart w:id="19" w:name="全文总结技术范式的深度重构"/>
      <w:r>
        <w:rPr>
          <w:b/>
          <w:bCs/>
          <w:i w:val="0"/>
          <w:iCs w:val="0"/>
          <w:color w:val="auto"/>
        </w:rPr>
        <w:t>5.1 全文总结：技术范式的深度重构</w:t>
      </w:r>
    </w:p>
    <w:p w14:paraId="20692967">
      <w:pPr>
        <w:pStyle w:val="23"/>
        <w:rPr>
          <w:b w:val="0"/>
          <w:bCs w:val="0"/>
          <w:i w:val="0"/>
          <w:iCs w:val="0"/>
          <w:color w:val="auto"/>
        </w:rPr>
      </w:pPr>
      <w:r>
        <w:rPr>
          <w:b w:val="0"/>
          <w:bCs w:val="0"/>
          <w:i w:val="0"/>
          <w:iCs w:val="0"/>
          <w:color w:val="auto"/>
        </w:rPr>
        <w:t>综合前文分析，我们不难发现，以大模型为代表的新一代人工智能技术，绝非一次简单的工具迭代，而是一场触及生产力底层的认知革命。</w:t>
      </w:r>
    </w:p>
    <w:p w14:paraId="403D4BD7">
      <w:pPr>
        <w:pStyle w:val="3"/>
        <w:rPr>
          <w:b w:val="0"/>
          <w:bCs w:val="0"/>
          <w:i w:val="0"/>
          <w:iCs w:val="0"/>
          <w:color w:val="auto"/>
        </w:rPr>
      </w:pPr>
      <w:r>
        <w:rPr>
          <w:b w:val="0"/>
          <w:bCs w:val="0"/>
          <w:i w:val="0"/>
          <w:iCs w:val="0"/>
          <w:color w:val="auto"/>
        </w:rPr>
        <w:t>在应用广度上，从第二章所述的生命科学领域的蛋白质理性设计，到工业场景下的通用智能体决策，AI正以前所未有的速度突破“比特世界”的藩篱，深度介入“原子世界”的构建与优化。它不仅加速了新药研发和材料科学的进程，更通过自动化决策重构了企业的运营逻辑。</w:t>
      </w:r>
    </w:p>
    <w:p w14:paraId="7FBB0269">
      <w:pPr>
        <w:pStyle w:val="3"/>
        <w:rPr>
          <w:b w:val="0"/>
          <w:bCs w:val="0"/>
          <w:i w:val="0"/>
          <w:iCs w:val="0"/>
          <w:color w:val="auto"/>
        </w:rPr>
      </w:pPr>
      <w:r>
        <w:rPr>
          <w:b w:val="0"/>
          <w:bCs w:val="0"/>
          <w:i w:val="0"/>
          <w:iCs w:val="0"/>
          <w:color w:val="auto"/>
        </w:rPr>
        <w:t>在交互维度上，如第三章所展望，AI的感知能力正从视听向嗅觉、触觉乃至人类情绪场域延伸。多模态AI与情绪热区地图的出现，标志着机器开始具备理解物理世界细腻质感与人类社会隐性动态的能力，这将催生出全新的服务形态与城市治理模式。</w:t>
      </w:r>
    </w:p>
    <w:p w14:paraId="2A508690">
      <w:pPr>
        <w:pStyle w:val="3"/>
        <w:rPr>
          <w:b w:val="0"/>
          <w:bCs w:val="0"/>
          <w:i w:val="0"/>
          <w:iCs w:val="0"/>
          <w:color w:val="auto"/>
        </w:rPr>
      </w:pPr>
      <w:r>
        <w:rPr>
          <w:b w:val="0"/>
          <w:bCs w:val="0"/>
          <w:i w:val="0"/>
          <w:iCs w:val="0"/>
          <w:color w:val="auto"/>
        </w:rPr>
        <w:t>在行业影响上，第四章明确指出了软件工程领域的剧变。传统的“代码工人”模式正在瓦解，取而代之的是以系统架构、AI编排和跨领域集成为核心的新型工程范式。生产力的爆发性释放，既是解放人类创造力的机遇，也是对现有教育体系和职业技能的严峻挑战。</w:t>
      </w:r>
    </w:p>
    <w:bookmarkEnd w:id="19"/>
    <w:p w14:paraId="4FEF953B">
      <w:pPr>
        <w:pStyle w:val="6"/>
        <w:rPr>
          <w:b/>
          <w:bCs/>
          <w:i w:val="0"/>
          <w:iCs w:val="0"/>
          <w:color w:val="auto"/>
        </w:rPr>
      </w:pPr>
      <w:bookmarkStart w:id="20" w:name="哲学思考工具理性与人类主体性"/>
      <w:r>
        <w:rPr>
          <w:b/>
          <w:bCs/>
          <w:i w:val="0"/>
          <w:iCs w:val="0"/>
          <w:color w:val="auto"/>
        </w:rPr>
        <w:t>5.2 哲学思考：工具理性与人类主体性</w:t>
      </w:r>
    </w:p>
    <w:p w14:paraId="7BA5BCFC">
      <w:pPr>
        <w:pStyle w:val="23"/>
        <w:rPr>
          <w:b w:val="0"/>
          <w:bCs w:val="0"/>
          <w:i w:val="0"/>
          <w:iCs w:val="0"/>
          <w:color w:val="auto"/>
        </w:rPr>
      </w:pPr>
      <w:r>
        <w:rPr>
          <w:b w:val="0"/>
          <w:bCs w:val="0"/>
          <w:i w:val="0"/>
          <w:iCs w:val="0"/>
          <w:color w:val="auto"/>
        </w:rPr>
        <w:t>站在2026年的门槛展望未来，我们需要在拥抱技术红利的同时，保持冷静的哲学审视。AI技术的本质是数据与算法对人类经验的极致压缩与重组。当智能体能够通过强化学习发现超越人类经验的最优解（如AlphaFold或工业控制Agent），人类的角色将从“操作者”彻底转变为“定义者”和“监管者”。</w:t>
      </w:r>
    </w:p>
    <w:p w14:paraId="5D67AEC5">
      <w:pPr>
        <w:pStyle w:val="3"/>
        <w:rPr>
          <w:b w:val="0"/>
          <w:bCs w:val="0"/>
          <w:i w:val="0"/>
          <w:iCs w:val="0"/>
          <w:color w:val="auto"/>
        </w:rPr>
      </w:pPr>
      <w:r>
        <w:rPr>
          <w:b w:val="0"/>
          <w:bCs w:val="0"/>
          <w:i w:val="0"/>
          <w:iCs w:val="0"/>
          <w:color w:val="auto"/>
        </w:rPr>
        <w:t>这种转变要求我们重新思考“智能”与“智慧”的区别。AI拥有强大的计算智能和模式识别能力，但人类独有的价值判断、伦理直觉、情感共鸣以及对“无用之用”的审美追求，依然是机器无法逾越的护城河。未来的核心竞争力，将不再是单纯的知识储备或编码速度，而是提出好问题的能力、跨学科的宏观视野以及驾驭复杂人机系统的领导力。</w:t>
      </w:r>
    </w:p>
    <w:bookmarkEnd w:id="20"/>
    <w:p w14:paraId="7999D616">
      <w:pPr>
        <w:pStyle w:val="6"/>
        <w:rPr>
          <w:b/>
          <w:bCs/>
          <w:i w:val="0"/>
          <w:iCs w:val="0"/>
          <w:color w:val="auto"/>
        </w:rPr>
      </w:pPr>
      <w:bookmarkStart w:id="21" w:name="结语"/>
      <w:r>
        <w:rPr>
          <w:b/>
          <w:bCs/>
          <w:i w:val="0"/>
          <w:iCs w:val="0"/>
          <w:color w:val="auto"/>
        </w:rPr>
        <w:t>5.3 结语</w:t>
      </w:r>
    </w:p>
    <w:p w14:paraId="3D2E3C41">
      <w:pPr>
        <w:pStyle w:val="23"/>
        <w:rPr>
          <w:b w:val="0"/>
          <w:bCs w:val="0"/>
          <w:i w:val="0"/>
          <w:iCs w:val="0"/>
          <w:color w:val="auto"/>
        </w:rPr>
      </w:pPr>
      <w:r>
        <w:rPr>
          <w:b w:val="0"/>
          <w:bCs w:val="0"/>
          <w:i w:val="0"/>
          <w:iCs w:val="0"/>
          <w:color w:val="auto"/>
        </w:rPr>
        <w:t>大模型的浪潮已不可逆转地席卷而来。对于我们这一代软件工程专业的学生而言，未来已不再遥远。我们既不应盲目崇拜技术，陷入“技术决定论”的迷思，也不应因恐惧被替代而固步自封。</w:t>
      </w:r>
    </w:p>
    <w:p w14:paraId="0F953C4B">
      <w:pPr>
        <w:pStyle w:val="3"/>
        <w:rPr>
          <w:rFonts w:hint="default" w:eastAsia="宋体"/>
          <w:b w:val="0"/>
          <w:bCs w:val="0"/>
          <w:i w:val="0"/>
          <w:iCs w:val="0"/>
          <w:color w:val="auto"/>
          <w:lang w:val="en-US" w:eastAsia="zh-CN"/>
        </w:rPr>
      </w:pPr>
      <w:r>
        <w:rPr>
          <w:b w:val="0"/>
          <w:bCs w:val="0"/>
          <w:i w:val="0"/>
          <w:iCs w:val="0"/>
          <w:color w:val="auto"/>
        </w:rPr>
        <w:t>未来的软件工程师，应当是技术的人文主义者。我们需要以AI素养为基石，以系统思维为骨架，在人机共生的新生态中，利用AI这一强大的外脑，去探索未知的科学边界，去解决复杂的社会问题，去创造更具温度与智慧的技术产品。这不仅是时代的召唤，更是我们作为未来技术构建者应尽的责任与使命。</w:t>
      </w:r>
      <w:bookmarkStart w:id="22" w:name="_GoBack"/>
      <w:bookmarkEnd w:id="22"/>
    </w:p>
    <w:bookmarkEnd w:id="0"/>
    <w:bookmarkEnd w:id="18"/>
    <w:bookmarkEnd w:id="21"/>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12E38F94"/>
    <w:multiLevelType w:val="singleLevel"/>
    <w:tmpl w:val="12E38F94"/>
    <w:lvl w:ilvl="0" w:tentative="0">
      <w:start w:val="2"/>
      <w:numFmt w:val="chineseCounting"/>
      <w:suff w:val="nothing"/>
      <w:lvlText w:val="%1、"/>
      <w:lvlJc w:val="left"/>
      <w:rPr>
        <w:rFonts w:hint="eastAsia"/>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46B19E4"/>
    <w:rsid w:val="18B52204"/>
    <w:rsid w:val="1B7C4935"/>
    <w:rsid w:val="1C1C4A04"/>
    <w:rsid w:val="2A9F7442"/>
    <w:rsid w:val="376831C7"/>
    <w:rsid w:val="394C4C39"/>
    <w:rsid w:val="44CD30D2"/>
    <w:rsid w:val="4CCB6D2C"/>
    <w:rsid w:val="4DF8562D"/>
    <w:rsid w:val="54DE15B3"/>
    <w:rsid w:val="5B9A6FA0"/>
    <w:rsid w:val="6AFF7A09"/>
    <w:rsid w:val="6B3727A3"/>
    <w:rsid w:val="6D5533B5"/>
    <w:rsid w:val="714B6FA9"/>
    <w:rsid w:val="71F96A05"/>
    <w:rsid w:val="745A35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2093</Words>
  <Characters>2204</Characters>
  <Lines>12</Lines>
  <Paragraphs>8</Paragraphs>
  <TotalTime>7</TotalTime>
  <ScaleCrop>false</ScaleCrop>
  <LinksUpToDate>false</LinksUpToDate>
  <CharactersWithSpaces>2218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2025-12-31T06:28:00Z</dcterms:created>
  <dc:creator>独角兽</dc:creator>
  <cp:lastModifiedBy>独角兽</cp:lastModifiedBy>
  <dcterms:modified xsi:type="dcterms:W3CDTF">2026-01-05T04:49:13Z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eyJoZGlkIjoiNDk4NTRkOWU1OWY4NjBkYTI2N2IyZmE0NzRhMDhlMmUiLCJ1c2VySWQiOiIxNTIzMzUzMTk2In0=</vt:lpwstr>
  </property>
  <property fmtid="{D5CDD505-2E9C-101B-9397-08002B2CF9AE}" pid="3" name="KSOProductBuildVer">
    <vt:lpwstr>2052-12.1.0.24034</vt:lpwstr>
  </property>
  <property fmtid="{D5CDD505-2E9C-101B-9397-08002B2CF9AE}" pid="4" name="ICV">
    <vt:lpwstr>70BC1D812C4B46B780ECA08D42964F86_12</vt:lpwstr>
  </property>
</Properties>
</file>