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 modern times, there's a rising understanding that mental health needs as much focus as physical health. This new view accepts that our mental and physical conditions are closely connected, influencing each other significantly.</w:t>
      </w:r>
    </w:p>
    <w:p>
      <w:pPr>
        <w:spacing w:line="360" w:lineRule="auto"/>
        <w:ind w:firstLine="420" w:firstLineChars="0"/>
        <w:rPr>
          <w:rFonts w:hint="default"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Traditionally, mental health received less attention and carried more shame.</w:t>
      </w:r>
      <w:r>
        <w:rPr>
          <w:rFonts w:hint="eastAsia"/>
          <w:sz w:val="28"/>
          <w:szCs w:val="28"/>
        </w:rPr>
        <w:t xml:space="preserve"> But now, with more people sharing their struggles openly 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eastAsia"/>
          <w:sz w:val="28"/>
          <w:szCs w:val="28"/>
        </w:rPr>
        <w:t>attitudes are changing. The recent global pandemic especially stressed the importance of mental care</w:t>
      </w:r>
      <w:r>
        <w:rPr>
          <w:rFonts w:hint="default"/>
          <w:sz w:val="28"/>
          <w:szCs w:val="28"/>
          <w:lang w:val="en-US"/>
        </w:rPr>
        <w:t>.</w:t>
      </w:r>
    </w:p>
    <w:p>
      <w:pPr>
        <w:spacing w:line="360" w:lineRule="auto"/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Governments, organizations, and companies are reacting positively. They're investing more in mental health services. Schools and workplaces are also stepping forward with counseling options and creating supportive environments</w:t>
      </w:r>
    </w:p>
    <w:p>
      <w:pPr>
        <w:spacing w:line="360" w:lineRule="auto"/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Technology is also making a difference, with apps and online platforms making mental health resources easily available, including therapy sessions. Social media is helping reduce stigma by encouraging people to share stories and seek help freely.</w:t>
      </w:r>
    </w:p>
    <w:p>
      <w:pPr>
        <w:spacing w:line="360" w:lineRule="auto"/>
        <w:ind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In a nutshell, this growing of mental health's importance marks progress towards a more complete and caring understanding of </w:t>
      </w:r>
      <w:r>
        <w:rPr>
          <w:rFonts w:hint="eastAsia"/>
          <w:sz w:val="28"/>
          <w:szCs w:val="28"/>
        </w:rPr>
        <w:t>recognition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health.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 It highlights the need to make mental healthcare a regular part of our lives and policies, leading to healthier, more resilient communities.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4600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2024-06-15T05:39:43Z</dcterms:created>
  <dc:creator>lxl</dc:creator>
  <cp:lastModifiedBy>玄执正</cp:lastModifiedBy>
  <dcterms:modified xsi:type="dcterms:W3CDTF">2024-06-15T06:27:35Z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0F7234CCCECC498098D07E3B47444948_12</vt:lpwstr>
  </property>
</Properties>
</file>