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CB9B" w14:textId="77777777" w:rsidR="00761D5E" w:rsidRDefault="00761D5E">
      <w:pPr>
        <w:spacing w:line="360" w:lineRule="auto"/>
        <w:jc w:val="center"/>
        <w:rPr>
          <w:rFonts w:ascii="宋体" w:eastAsia="宋体" w:hAnsi="宋体" w:cs="宋体" w:hint="eastAsia"/>
          <w:bCs/>
          <w:sz w:val="44"/>
          <w:szCs w:val="44"/>
        </w:rPr>
      </w:pPr>
    </w:p>
    <w:p w14:paraId="463CF072" w14:textId="77777777" w:rsidR="00761D5E" w:rsidRDefault="00805A9F">
      <w:pPr>
        <w:spacing w:line="360" w:lineRule="auto"/>
        <w:jc w:val="center"/>
        <w:rPr>
          <w:rFonts w:ascii="宋体" w:eastAsia="宋体" w:hAnsi="宋体" w:cs="宋体" w:hint="eastAsia"/>
          <w:b/>
          <w:sz w:val="44"/>
          <w:szCs w:val="44"/>
        </w:rPr>
      </w:pPr>
      <w:r>
        <w:rPr>
          <w:rFonts w:ascii="宋体" w:eastAsia="宋体" w:hAnsi="宋体" w:cs="宋体" w:hint="eastAsia"/>
          <w:b/>
          <w:sz w:val="44"/>
          <w:szCs w:val="44"/>
        </w:rPr>
        <w:t>我国关于未成年人犯罪的法律实践与反思</w:t>
      </w:r>
    </w:p>
    <w:p w14:paraId="70C05E67" w14:textId="77777777" w:rsidR="00761D5E" w:rsidRDefault="00761D5E">
      <w:pPr>
        <w:spacing w:line="360" w:lineRule="auto"/>
        <w:rPr>
          <w:rFonts w:ascii="宋体" w:eastAsia="宋体" w:hAnsi="宋体" w:cs="宋体" w:hint="eastAsia"/>
          <w:bCs/>
          <w:sz w:val="24"/>
        </w:rPr>
      </w:pPr>
    </w:p>
    <w:p w14:paraId="1EF28C68"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8"/>
          <w:szCs w:val="28"/>
        </w:rPr>
        <w:t>摘</w:t>
      </w:r>
      <w:r>
        <w:rPr>
          <w:rFonts w:ascii="宋体" w:eastAsia="宋体" w:hAnsi="宋体" w:cs="宋体" w:hint="eastAsia"/>
          <w:bCs/>
          <w:sz w:val="28"/>
          <w:szCs w:val="28"/>
        </w:rPr>
        <w:t xml:space="preserve"> </w:t>
      </w:r>
      <w:r>
        <w:rPr>
          <w:rFonts w:ascii="宋体" w:eastAsia="宋体" w:hAnsi="宋体" w:cs="宋体" w:hint="eastAsia"/>
          <w:bCs/>
          <w:sz w:val="28"/>
          <w:szCs w:val="28"/>
        </w:rPr>
        <w:t>要</w:t>
      </w:r>
      <w:r>
        <w:rPr>
          <w:rFonts w:ascii="宋体" w:eastAsia="宋体" w:hAnsi="宋体" w:cs="宋体" w:hint="eastAsia"/>
          <w:bCs/>
          <w:sz w:val="24"/>
        </w:rPr>
        <w:t>：近年来，涉未成年人犯罪问题受到社会高度关注。上个月于河北省邯郸市发生的校园悲剧尤让我们震惊与叹惋。在处理该起案件的过程中，体现了我国关于未成年人犯罪法律实践中“</w:t>
      </w:r>
      <w:r>
        <w:rPr>
          <w:rFonts w:ascii="宋体" w:eastAsia="宋体" w:hAnsi="宋体" w:hint="eastAsia"/>
          <w:bCs/>
          <w:sz w:val="24"/>
        </w:rPr>
        <w:t>从宽处理”“</w:t>
      </w:r>
      <w:r>
        <w:rPr>
          <w:rFonts w:ascii="宋体" w:eastAsia="宋体" w:hAnsi="宋体" w:cs="宋体"/>
          <w:bCs/>
          <w:sz w:val="24"/>
        </w:rPr>
        <w:t>死刑</w:t>
      </w:r>
      <w:r>
        <w:rPr>
          <w:rFonts w:ascii="宋体" w:eastAsia="宋体" w:hAnsi="宋体" w:cs="宋体" w:hint="eastAsia"/>
          <w:bCs/>
          <w:sz w:val="24"/>
        </w:rPr>
        <w:t>不</w:t>
      </w:r>
      <w:r>
        <w:rPr>
          <w:rFonts w:ascii="宋体" w:eastAsia="宋体" w:hAnsi="宋体" w:cs="宋体"/>
          <w:bCs/>
          <w:sz w:val="24"/>
        </w:rPr>
        <w:t>适用</w:t>
      </w:r>
      <w:r>
        <w:rPr>
          <w:rFonts w:ascii="宋体" w:eastAsia="宋体" w:hAnsi="宋体" w:cs="宋体" w:hint="eastAsia"/>
          <w:bCs/>
          <w:sz w:val="24"/>
        </w:rPr>
        <w:t>”“不公开审理”的处理原则，这些处理原则与“累犯不适用”“免除前科报告”等原则一同，事实上反映了</w:t>
      </w:r>
      <w:r>
        <w:rPr>
          <w:rFonts w:ascii="宋体" w:eastAsia="宋体" w:hAnsi="宋体" w:hint="eastAsia"/>
          <w:bCs/>
          <w:sz w:val="24"/>
        </w:rPr>
        <w:t>我国法律对未成年人犯罪采取</w:t>
      </w:r>
      <w:r>
        <w:rPr>
          <w:rFonts w:ascii="宋体" w:eastAsia="宋体" w:hAnsi="宋体" w:cs="宋体" w:hint="eastAsia"/>
          <w:bCs/>
          <w:sz w:val="24"/>
        </w:rPr>
        <w:t>“教育、感化、挽救”的法律方针。可“教育为主，惩罚为辅”固然有利于</w:t>
      </w:r>
      <w:r>
        <w:rPr>
          <w:rFonts w:ascii="宋体" w:eastAsia="宋体" w:hAnsi="宋体" w:hint="eastAsia"/>
          <w:bCs/>
          <w:sz w:val="24"/>
        </w:rPr>
        <w:t>挽救未成年犯罪人，使其重回正常的社会轨道，但</w:t>
      </w:r>
      <w:r>
        <w:rPr>
          <w:rFonts w:ascii="宋体" w:eastAsia="宋体" w:hAnsi="宋体" w:cs="宋体" w:hint="eastAsia"/>
          <w:bCs/>
          <w:sz w:val="24"/>
        </w:rPr>
        <w:t>在平衡“教育”与“惩罚”的关系时，也要同时注重发挥“惩罚”的“效力”与“威慑力”，不让低龄成为恶性犯罪的“免罪金牌”，不让社会对法律“寒心”。</w:t>
      </w:r>
    </w:p>
    <w:p w14:paraId="5A013657"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8"/>
          <w:szCs w:val="28"/>
        </w:rPr>
        <w:t>关键词</w:t>
      </w:r>
      <w:r>
        <w:rPr>
          <w:rFonts w:ascii="宋体" w:eastAsia="宋体" w:hAnsi="宋体" w:cs="宋体" w:hint="eastAsia"/>
          <w:bCs/>
          <w:sz w:val="24"/>
        </w:rPr>
        <w:t>：未成年人犯罪，法律实践，处理原则，法律方针，反思</w:t>
      </w:r>
    </w:p>
    <w:p w14:paraId="7B8E8929" w14:textId="77777777" w:rsidR="00761D5E" w:rsidRDefault="00761D5E">
      <w:pPr>
        <w:spacing w:line="360" w:lineRule="auto"/>
        <w:rPr>
          <w:rFonts w:ascii="宋体" w:eastAsia="宋体" w:hAnsi="宋体" w:cs="宋体" w:hint="eastAsia"/>
          <w:bCs/>
          <w:sz w:val="24"/>
        </w:rPr>
      </w:pPr>
    </w:p>
    <w:p w14:paraId="2630D6C4" w14:textId="77777777" w:rsidR="00761D5E" w:rsidRDefault="00805A9F">
      <w:pPr>
        <w:numPr>
          <w:ilvl w:val="0"/>
          <w:numId w:val="1"/>
        </w:numPr>
        <w:spacing w:line="360" w:lineRule="auto"/>
        <w:rPr>
          <w:rFonts w:ascii="宋体" w:eastAsia="宋体" w:hAnsi="宋体" w:cs="宋体" w:hint="eastAsia"/>
          <w:b/>
          <w:sz w:val="28"/>
          <w:szCs w:val="28"/>
        </w:rPr>
      </w:pPr>
      <w:r>
        <w:rPr>
          <w:rFonts w:ascii="宋体" w:eastAsia="宋体" w:hAnsi="宋体" w:cs="宋体" w:hint="eastAsia"/>
          <w:b/>
          <w:sz w:val="28"/>
          <w:szCs w:val="28"/>
        </w:rPr>
        <w:t>我国现行的关于未成年人犯罪的刑法规定</w:t>
      </w:r>
    </w:p>
    <w:p w14:paraId="3AABF432"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经</w:t>
      </w:r>
      <w:r>
        <w:rPr>
          <w:rFonts w:ascii="宋体" w:eastAsia="宋体" w:hAnsi="宋体" w:cs="宋体" w:hint="eastAsia"/>
          <w:bCs/>
          <w:sz w:val="24"/>
        </w:rPr>
        <w:t>2021</w:t>
      </w:r>
      <w:r>
        <w:rPr>
          <w:rFonts w:ascii="宋体" w:eastAsia="宋体" w:hAnsi="宋体" w:cs="宋体" w:hint="eastAsia"/>
          <w:bCs/>
          <w:sz w:val="24"/>
        </w:rPr>
        <w:t>年</w:t>
      </w:r>
      <w:r>
        <w:rPr>
          <w:rFonts w:ascii="宋体" w:eastAsia="宋体" w:hAnsi="宋体" w:cs="宋体" w:hint="eastAsia"/>
          <w:bCs/>
          <w:sz w:val="24"/>
        </w:rPr>
        <w:t>3</w:t>
      </w:r>
      <w:r>
        <w:rPr>
          <w:rFonts w:ascii="宋体" w:eastAsia="宋体" w:hAnsi="宋体" w:cs="宋体" w:hint="eastAsia"/>
          <w:bCs/>
          <w:sz w:val="24"/>
        </w:rPr>
        <w:t>月</w:t>
      </w:r>
      <w:r>
        <w:rPr>
          <w:rFonts w:ascii="宋体" w:eastAsia="宋体" w:hAnsi="宋体" w:cs="宋体" w:hint="eastAsia"/>
          <w:bCs/>
          <w:sz w:val="24"/>
        </w:rPr>
        <w:t>1</w:t>
      </w:r>
      <w:r>
        <w:rPr>
          <w:rFonts w:ascii="宋体" w:eastAsia="宋体" w:hAnsi="宋体" w:cs="宋体" w:hint="eastAsia"/>
          <w:bCs/>
          <w:sz w:val="24"/>
        </w:rPr>
        <w:t>日起施行的《中华人民共和国刑法修正案十一》修改后的《中华人民共和国刑法》第十七条规定：</w:t>
      </w:r>
    </w:p>
    <w:p w14:paraId="71C3F794"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“已满十六周岁的人犯罪，应当负刑事责任。”</w:t>
      </w:r>
    </w:p>
    <w:p w14:paraId="05FDEBAB"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“已满十四周岁不满十六周岁的人，犯故意杀人、故意伤害致人重伤或者死亡、强奸、抢劫、贩卖毒品、放火、爆炸、投放危险物质罪的，应当负刑事责任。”</w:t>
      </w:r>
    </w:p>
    <w:p w14:paraId="7946BF2E"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“已满十二周岁不满十四周岁的人，犯故意杀人、故意伤害罪，致人死亡或者以特别残忍手段致人重伤造成严重残疾，情节恶劣，经最高人民检察院核准追诉的，应当负刑事责任。</w:t>
      </w:r>
    </w:p>
    <w:p w14:paraId="2A215387"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总的来说，在我国，未满</w:t>
      </w:r>
      <w:r>
        <w:rPr>
          <w:rFonts w:ascii="宋体" w:eastAsia="宋体" w:hAnsi="宋体" w:cs="宋体" w:hint="eastAsia"/>
          <w:bCs/>
          <w:sz w:val="24"/>
        </w:rPr>
        <w:t>14</w:t>
      </w:r>
      <w:r>
        <w:rPr>
          <w:rFonts w:ascii="宋体" w:eastAsia="宋体" w:hAnsi="宋体" w:cs="宋体" w:hint="eastAsia"/>
          <w:bCs/>
          <w:sz w:val="24"/>
        </w:rPr>
        <w:t>周岁的未成年人犯罪只对情节恶劣的故意伤害、故意杀人罪承担刑事责任，已满</w:t>
      </w:r>
      <w:r>
        <w:rPr>
          <w:rFonts w:ascii="宋体" w:eastAsia="宋体" w:hAnsi="宋体" w:cs="宋体" w:hint="eastAsia"/>
          <w:bCs/>
          <w:sz w:val="24"/>
        </w:rPr>
        <w:t>14</w:t>
      </w:r>
      <w:r>
        <w:rPr>
          <w:rFonts w:ascii="宋体" w:eastAsia="宋体" w:hAnsi="宋体" w:cs="宋体" w:hint="eastAsia"/>
          <w:bCs/>
          <w:sz w:val="24"/>
        </w:rPr>
        <w:t>周岁未满</w:t>
      </w:r>
      <w:r>
        <w:rPr>
          <w:rFonts w:ascii="宋体" w:eastAsia="宋体" w:hAnsi="宋体" w:cs="宋体" w:hint="eastAsia"/>
          <w:bCs/>
          <w:sz w:val="24"/>
        </w:rPr>
        <w:t>16</w:t>
      </w:r>
      <w:r>
        <w:rPr>
          <w:rFonts w:ascii="宋体" w:eastAsia="宋体" w:hAnsi="宋体" w:cs="宋体" w:hint="eastAsia"/>
          <w:bCs/>
          <w:sz w:val="24"/>
        </w:rPr>
        <w:t>周岁的未成年只对八种较为严重的犯罪承担刑事责任。已满</w:t>
      </w:r>
      <w:r>
        <w:rPr>
          <w:rFonts w:ascii="宋体" w:eastAsia="宋体" w:hAnsi="宋体" w:cs="宋体" w:hint="eastAsia"/>
          <w:bCs/>
          <w:sz w:val="24"/>
        </w:rPr>
        <w:t>16</w:t>
      </w:r>
      <w:r>
        <w:rPr>
          <w:rFonts w:ascii="宋体" w:eastAsia="宋体" w:hAnsi="宋体" w:cs="宋体" w:hint="eastAsia"/>
          <w:bCs/>
          <w:sz w:val="24"/>
        </w:rPr>
        <w:t>周岁的人对所犯的所有罪行承担刑事责任。</w:t>
      </w:r>
    </w:p>
    <w:p w14:paraId="5B8E39C8" w14:textId="77777777" w:rsidR="00761D5E" w:rsidRDefault="00761D5E">
      <w:pPr>
        <w:spacing w:line="360" w:lineRule="auto"/>
        <w:ind w:firstLine="420"/>
        <w:rPr>
          <w:rFonts w:ascii="宋体" w:eastAsia="宋体" w:hAnsi="宋体" w:cs="宋体" w:hint="eastAsia"/>
          <w:bCs/>
          <w:sz w:val="24"/>
        </w:rPr>
      </w:pPr>
    </w:p>
    <w:p w14:paraId="7A4BA264" w14:textId="77777777" w:rsidR="00761D5E" w:rsidRDefault="00805A9F">
      <w:pPr>
        <w:numPr>
          <w:ilvl w:val="0"/>
          <w:numId w:val="1"/>
        </w:numPr>
        <w:spacing w:line="360" w:lineRule="auto"/>
        <w:rPr>
          <w:rFonts w:ascii="宋体" w:eastAsia="宋体" w:hAnsi="宋体" w:hint="eastAsia"/>
          <w:b/>
          <w:sz w:val="28"/>
          <w:szCs w:val="28"/>
        </w:rPr>
      </w:pPr>
      <w:r>
        <w:rPr>
          <w:rFonts w:ascii="宋体" w:eastAsia="宋体" w:hAnsi="宋体" w:hint="eastAsia"/>
          <w:b/>
          <w:sz w:val="28"/>
          <w:szCs w:val="28"/>
        </w:rPr>
        <w:t>关于</w:t>
      </w:r>
      <w:r>
        <w:rPr>
          <w:rFonts w:ascii="宋体" w:eastAsia="宋体" w:hAnsi="宋体"/>
          <w:b/>
          <w:sz w:val="28"/>
          <w:szCs w:val="28"/>
        </w:rPr>
        <w:t>未成年人犯罪的</w:t>
      </w:r>
      <w:r>
        <w:rPr>
          <w:rFonts w:ascii="宋体" w:eastAsia="宋体" w:hAnsi="宋体" w:hint="eastAsia"/>
          <w:b/>
          <w:sz w:val="28"/>
          <w:szCs w:val="28"/>
        </w:rPr>
        <w:t>法律</w:t>
      </w:r>
      <w:r>
        <w:rPr>
          <w:rFonts w:ascii="宋体" w:eastAsia="宋体" w:hAnsi="宋体"/>
          <w:b/>
          <w:sz w:val="28"/>
          <w:szCs w:val="28"/>
        </w:rPr>
        <w:t>实践</w:t>
      </w:r>
      <w:r>
        <w:rPr>
          <w:rFonts w:ascii="宋体" w:eastAsia="宋体" w:hAnsi="宋体" w:hint="eastAsia"/>
          <w:b/>
          <w:sz w:val="28"/>
          <w:szCs w:val="28"/>
        </w:rPr>
        <w:t>：</w:t>
      </w:r>
      <w:r>
        <w:rPr>
          <w:rFonts w:ascii="宋体" w:eastAsia="宋体" w:hAnsi="宋体" w:cs="宋体" w:hint="eastAsia"/>
          <w:b/>
          <w:sz w:val="28"/>
          <w:szCs w:val="28"/>
        </w:rPr>
        <w:t>以河北邯郸初中生被害案为例</w:t>
      </w:r>
    </w:p>
    <w:p w14:paraId="42A1D661"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lastRenderedPageBreak/>
        <w:t>2024</w:t>
      </w:r>
      <w:r>
        <w:rPr>
          <w:rFonts w:ascii="宋体" w:eastAsia="宋体" w:hAnsi="宋体" w:cs="宋体" w:hint="eastAsia"/>
          <w:bCs/>
          <w:sz w:val="24"/>
        </w:rPr>
        <w:t>年</w:t>
      </w:r>
      <w:r>
        <w:rPr>
          <w:rFonts w:ascii="宋体" w:eastAsia="宋体" w:hAnsi="宋体" w:cs="宋体" w:hint="eastAsia"/>
          <w:bCs/>
          <w:sz w:val="24"/>
        </w:rPr>
        <w:t>3</w:t>
      </w:r>
      <w:r>
        <w:rPr>
          <w:rFonts w:ascii="宋体" w:eastAsia="宋体" w:hAnsi="宋体" w:cs="宋体" w:hint="eastAsia"/>
          <w:bCs/>
          <w:sz w:val="24"/>
        </w:rPr>
        <w:t>月</w:t>
      </w:r>
      <w:r>
        <w:rPr>
          <w:rFonts w:ascii="宋体" w:eastAsia="宋体" w:hAnsi="宋体" w:cs="宋体" w:hint="eastAsia"/>
          <w:bCs/>
          <w:sz w:val="24"/>
        </w:rPr>
        <w:t>10</w:t>
      </w:r>
      <w:r>
        <w:rPr>
          <w:rFonts w:ascii="宋体" w:eastAsia="宋体" w:hAnsi="宋体" w:cs="宋体" w:hint="eastAsia"/>
          <w:bCs/>
          <w:sz w:val="24"/>
        </w:rPr>
        <w:t>日，河北省邯郸市肥乡区初一学生王某某被杀害。</w:t>
      </w:r>
    </w:p>
    <w:p w14:paraId="55AA3169"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3</w:t>
      </w:r>
      <w:r>
        <w:rPr>
          <w:rFonts w:ascii="宋体" w:eastAsia="宋体" w:hAnsi="宋体" w:cs="宋体" w:hint="eastAsia"/>
          <w:bCs/>
          <w:sz w:val="24"/>
        </w:rPr>
        <w:t>月</w:t>
      </w:r>
      <w:r>
        <w:rPr>
          <w:rFonts w:ascii="宋体" w:eastAsia="宋体" w:hAnsi="宋体" w:cs="宋体" w:hint="eastAsia"/>
          <w:bCs/>
          <w:sz w:val="24"/>
        </w:rPr>
        <w:t>11</w:t>
      </w:r>
      <w:r>
        <w:rPr>
          <w:rFonts w:ascii="宋体" w:eastAsia="宋体" w:hAnsi="宋体" w:cs="宋体" w:hint="eastAsia"/>
          <w:bCs/>
          <w:sz w:val="24"/>
        </w:rPr>
        <w:t>日，涉案的张某某、李某、马某某</w:t>
      </w:r>
      <w:r>
        <w:rPr>
          <w:rFonts w:ascii="宋体" w:eastAsia="宋体" w:hAnsi="宋体" w:cs="宋体" w:hint="eastAsia"/>
          <w:bCs/>
          <w:sz w:val="24"/>
        </w:rPr>
        <w:t>3</w:t>
      </w:r>
      <w:r>
        <w:rPr>
          <w:rFonts w:ascii="宋体" w:eastAsia="宋体" w:hAnsi="宋体" w:cs="宋体" w:hint="eastAsia"/>
          <w:bCs/>
          <w:sz w:val="24"/>
        </w:rPr>
        <w:t>名未成年犯罪嫌疑人被公安机关全部抓获。检察机关高度重视，依法提前介入公安机关侦查活动。</w:t>
      </w:r>
    </w:p>
    <w:p w14:paraId="7D3671BE"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3</w:t>
      </w:r>
      <w:r>
        <w:rPr>
          <w:rFonts w:ascii="宋体" w:eastAsia="宋体" w:hAnsi="宋体" w:cs="宋体" w:hint="eastAsia"/>
          <w:bCs/>
          <w:sz w:val="24"/>
        </w:rPr>
        <w:t>月</w:t>
      </w:r>
      <w:r>
        <w:rPr>
          <w:rFonts w:ascii="宋体" w:eastAsia="宋体" w:hAnsi="宋体" w:cs="宋体" w:hint="eastAsia"/>
          <w:bCs/>
          <w:sz w:val="24"/>
        </w:rPr>
        <w:t>21</w:t>
      </w:r>
      <w:r>
        <w:rPr>
          <w:rFonts w:ascii="宋体" w:eastAsia="宋体" w:hAnsi="宋体" w:cs="宋体" w:hint="eastAsia"/>
          <w:bCs/>
          <w:sz w:val="24"/>
        </w:rPr>
        <w:t>日，邯郸市肥乡区公安局对涉嫌故意杀人罪的张某某、李某及马某某提请检察机关核准追诉。</w:t>
      </w:r>
    </w:p>
    <w:p w14:paraId="2CB675BE"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检察机关审查认为，张某某、李某及马某某</w:t>
      </w:r>
      <w:r>
        <w:rPr>
          <w:rFonts w:ascii="宋体" w:eastAsia="宋体" w:hAnsi="宋体" w:cs="宋体" w:hint="eastAsia"/>
          <w:bCs/>
          <w:sz w:val="24"/>
        </w:rPr>
        <w:t>3</w:t>
      </w:r>
      <w:r>
        <w:rPr>
          <w:rFonts w:ascii="宋体" w:eastAsia="宋体" w:hAnsi="宋体" w:cs="宋体" w:hint="eastAsia"/>
          <w:bCs/>
          <w:sz w:val="24"/>
        </w:rPr>
        <w:t>人作案时已满十二周岁不满十四周岁，故意杀人致被害人王某某死亡，情节恶劣，应当追究刑事责任，遂逐级层报最高人民检察院对张某某、李某及马某某核准追诉。</w:t>
      </w:r>
    </w:p>
    <w:p w14:paraId="6ECFCD44"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4</w:t>
      </w:r>
      <w:r>
        <w:rPr>
          <w:rFonts w:ascii="宋体" w:eastAsia="宋体" w:hAnsi="宋体" w:cs="宋体" w:hint="eastAsia"/>
          <w:bCs/>
          <w:sz w:val="24"/>
        </w:rPr>
        <w:t>月</w:t>
      </w:r>
      <w:r>
        <w:rPr>
          <w:rFonts w:ascii="宋体" w:eastAsia="宋体" w:hAnsi="宋体" w:cs="宋体" w:hint="eastAsia"/>
          <w:bCs/>
          <w:sz w:val="24"/>
        </w:rPr>
        <w:t>8</w:t>
      </w:r>
      <w:r>
        <w:rPr>
          <w:rFonts w:ascii="宋体" w:eastAsia="宋体" w:hAnsi="宋体" w:cs="宋体" w:hint="eastAsia"/>
          <w:bCs/>
          <w:sz w:val="24"/>
        </w:rPr>
        <w:t>日，河北省人民检察院就河北邯郸初中生被害案发布案情通报，经河北省检察机关逐级层报，最高检审查，依法决定对未成年犯罪嫌疑人张某某、李某及马某某核准追诉。</w:t>
      </w:r>
    </w:p>
    <w:p w14:paraId="3502A257"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此案件中逐级层报最高人民检察院“核准追诉”事实上是对修正后《中华人民共和国刑法》第十七条第三款规定的落实。《刑法修正案》将未成年人负刑事责任年龄提前至十二岁，但增加了程序要求“经最高人民检察院核准追诉”。</w:t>
      </w:r>
    </w:p>
    <w:p w14:paraId="411AA82A"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该案件报道以后，情节之恶劣，手段之残忍令舆情一片哗然，许多对法律不了解的人认为“应当对未成年犯罪人处以死刑”“法院不公开审理是对未成年犯罪人的包庇”。而事实上，在本案件中对未成年犯罪人的处理方式绝非包庇，而是对我国关于未成年人犯罪法律实践中一些法定处理原则的体现。</w:t>
      </w:r>
    </w:p>
    <w:p w14:paraId="36B234D1" w14:textId="77777777" w:rsidR="00761D5E" w:rsidRDefault="00761D5E">
      <w:pPr>
        <w:spacing w:line="360" w:lineRule="auto"/>
        <w:ind w:firstLine="420"/>
        <w:rPr>
          <w:rFonts w:ascii="宋体" w:eastAsia="宋体" w:hAnsi="宋体" w:cs="宋体" w:hint="eastAsia"/>
          <w:bCs/>
          <w:sz w:val="24"/>
        </w:rPr>
      </w:pPr>
    </w:p>
    <w:p w14:paraId="6DA0FC6E" w14:textId="77777777" w:rsidR="00761D5E" w:rsidRDefault="00805A9F">
      <w:pPr>
        <w:numPr>
          <w:ilvl w:val="0"/>
          <w:numId w:val="1"/>
        </w:numPr>
        <w:spacing w:line="360" w:lineRule="auto"/>
        <w:rPr>
          <w:rFonts w:ascii="宋体" w:eastAsia="宋体" w:hAnsi="宋体" w:hint="eastAsia"/>
          <w:b/>
          <w:sz w:val="28"/>
          <w:szCs w:val="28"/>
        </w:rPr>
      </w:pPr>
      <w:r>
        <w:rPr>
          <w:rFonts w:ascii="宋体" w:eastAsia="宋体" w:hAnsi="宋体" w:hint="eastAsia"/>
          <w:b/>
          <w:sz w:val="28"/>
          <w:szCs w:val="28"/>
        </w:rPr>
        <w:t>我国关于未成年人犯罪法律实践的处理原则</w:t>
      </w:r>
    </w:p>
    <w:p w14:paraId="5401053D" w14:textId="77777777" w:rsidR="00761D5E" w:rsidRDefault="00805A9F">
      <w:pPr>
        <w:spacing w:line="360" w:lineRule="auto"/>
        <w:rPr>
          <w:rFonts w:ascii="楷体" w:eastAsia="楷体" w:hAnsi="楷体" w:cs="楷体" w:hint="eastAsia"/>
          <w:b/>
          <w:sz w:val="24"/>
        </w:rPr>
      </w:pPr>
      <w:r>
        <w:rPr>
          <w:rFonts w:ascii="楷体" w:eastAsia="楷体" w:hAnsi="楷体" w:cs="楷体" w:hint="eastAsia"/>
          <w:b/>
          <w:sz w:val="24"/>
        </w:rPr>
        <w:t>（一）从宽处理</w:t>
      </w:r>
    </w:p>
    <w:p w14:paraId="4632E9F9"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《中华人民共和国刑法》第十七条规定：</w:t>
      </w:r>
    </w:p>
    <w:p w14:paraId="2A46D61E"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“对依照前三款规定追究刑事责任的不满十八周岁的人，应当从轻或者减轻处罚。</w:t>
      </w:r>
      <w:r>
        <w:rPr>
          <w:rFonts w:ascii="宋体" w:eastAsia="宋体" w:hAnsi="宋体" w:cs="宋体"/>
          <w:bCs/>
          <w:sz w:val="24"/>
        </w:rPr>
        <w:t>”</w:t>
      </w:r>
    </w:p>
    <w:p w14:paraId="7A90FC82"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bCs/>
          <w:sz w:val="24"/>
        </w:rPr>
        <w:t>“</w:t>
      </w:r>
      <w:r>
        <w:rPr>
          <w:rFonts w:ascii="宋体" w:eastAsia="宋体" w:hAnsi="宋体" w:cs="宋体"/>
          <w:bCs/>
          <w:sz w:val="24"/>
        </w:rPr>
        <w:t>应当</w:t>
      </w:r>
      <w:r>
        <w:rPr>
          <w:rFonts w:ascii="宋体" w:eastAsia="宋体" w:hAnsi="宋体" w:cs="宋体"/>
          <w:bCs/>
          <w:sz w:val="24"/>
        </w:rPr>
        <w:t>”</w:t>
      </w:r>
      <w:r>
        <w:rPr>
          <w:rFonts w:ascii="宋体" w:eastAsia="宋体" w:hAnsi="宋体" w:cs="宋体"/>
          <w:bCs/>
          <w:sz w:val="24"/>
        </w:rPr>
        <w:t>属于强制性规范</w:t>
      </w:r>
      <w:r>
        <w:rPr>
          <w:rFonts w:ascii="宋体" w:eastAsia="宋体" w:hAnsi="宋体" w:cs="宋体" w:hint="eastAsia"/>
          <w:bCs/>
          <w:sz w:val="24"/>
        </w:rPr>
        <w:t>，这一措辞保证了未成年人的权利。</w:t>
      </w:r>
    </w:p>
    <w:p w14:paraId="27340F99"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由于未成年人刑事责任能力不足，其承担的刑责程度较轻，这一规定的内在机理也与罪责相适应原则相契合。</w:t>
      </w:r>
      <w:r>
        <w:rPr>
          <w:rStyle w:val="a5"/>
          <w:rFonts w:hint="eastAsia"/>
        </w:rPr>
        <w:t>[1]</w:t>
      </w:r>
    </w:p>
    <w:p w14:paraId="13472A8A" w14:textId="77777777" w:rsidR="00761D5E" w:rsidRDefault="00805A9F">
      <w:pPr>
        <w:numPr>
          <w:ilvl w:val="0"/>
          <w:numId w:val="2"/>
        </w:numPr>
        <w:spacing w:line="360" w:lineRule="auto"/>
        <w:rPr>
          <w:rFonts w:ascii="楷体" w:eastAsia="楷体" w:hAnsi="楷体" w:cs="楷体" w:hint="eastAsia"/>
          <w:b/>
          <w:sz w:val="24"/>
        </w:rPr>
      </w:pPr>
      <w:r>
        <w:rPr>
          <w:rFonts w:ascii="楷体" w:eastAsia="楷体" w:hAnsi="楷体" w:cs="楷体" w:hint="eastAsia"/>
          <w:b/>
          <w:sz w:val="24"/>
        </w:rPr>
        <w:t>死刑不适用</w:t>
      </w:r>
    </w:p>
    <w:p w14:paraId="2C37AE53"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《中华人民共和国刑法》第四十九条规定：</w:t>
      </w:r>
    </w:p>
    <w:p w14:paraId="6F2776D9"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bCs/>
          <w:sz w:val="24"/>
        </w:rPr>
        <w:lastRenderedPageBreak/>
        <w:t>“</w:t>
      </w:r>
      <w:r>
        <w:rPr>
          <w:rFonts w:ascii="宋体" w:eastAsia="宋体" w:hAnsi="宋体" w:cs="宋体" w:hint="eastAsia"/>
          <w:bCs/>
          <w:sz w:val="24"/>
        </w:rPr>
        <w:t>犯罪的时候不满十八周岁的人和审判的时候怀孕的妇女，不适用死刑。</w:t>
      </w:r>
      <w:r>
        <w:rPr>
          <w:rFonts w:ascii="宋体" w:eastAsia="宋体" w:hAnsi="宋体" w:cs="宋体"/>
          <w:bCs/>
          <w:sz w:val="24"/>
        </w:rPr>
        <w:t>”</w:t>
      </w:r>
    </w:p>
    <w:p w14:paraId="580754B9"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其中，“死刑”包括“死缓”与“死刑立即执行”。不适用“死刑”同时表明不得对未成年人判处死刑同时宣告缓期二年执行。</w:t>
      </w:r>
    </w:p>
    <w:p w14:paraId="2C4A1AA5" w14:textId="77777777" w:rsidR="00761D5E" w:rsidRDefault="00805A9F">
      <w:pPr>
        <w:numPr>
          <w:ilvl w:val="0"/>
          <w:numId w:val="2"/>
        </w:numPr>
        <w:spacing w:line="360" w:lineRule="auto"/>
        <w:rPr>
          <w:rFonts w:ascii="楷体" w:eastAsia="楷体" w:hAnsi="楷体" w:cs="楷体" w:hint="eastAsia"/>
          <w:b/>
          <w:sz w:val="24"/>
        </w:rPr>
      </w:pPr>
      <w:r>
        <w:rPr>
          <w:rFonts w:ascii="楷体" w:eastAsia="楷体" w:hAnsi="楷体" w:cs="楷体" w:hint="eastAsia"/>
          <w:b/>
          <w:sz w:val="24"/>
        </w:rPr>
        <w:t>累犯不适用</w:t>
      </w:r>
    </w:p>
    <w:p w14:paraId="31ECF2D3"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《中华人民共和国刑法》第六十五条规定：</w:t>
      </w:r>
    </w:p>
    <w:p w14:paraId="6A2C5C0C"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“被判处有期徒刑以上刑罚的犯罪分子，刑罚执行完毕或者赦免以后，在五年以内再犯应当判处有期徒刑以上刑罚之罪的，是累犯，应当从重处罚，但是过失犯罪和不满十八周岁的人犯罪的除外。”</w:t>
      </w:r>
    </w:p>
    <w:p w14:paraId="42D41891" w14:textId="77777777" w:rsidR="00761D5E" w:rsidRDefault="00805A9F">
      <w:pPr>
        <w:spacing w:line="360" w:lineRule="auto"/>
        <w:ind w:firstLine="420"/>
        <w:rPr>
          <w:rFonts w:ascii="宋体" w:eastAsia="宋体" w:hAnsi="宋体" w:cs="宋体" w:hint="eastAsia"/>
          <w:bCs/>
          <w:color w:val="FF0000"/>
          <w:sz w:val="24"/>
        </w:rPr>
      </w:pPr>
      <w:r>
        <w:rPr>
          <w:rFonts w:ascii="宋体" w:eastAsia="宋体" w:hAnsi="宋体" w:cs="宋体" w:hint="eastAsia"/>
          <w:bCs/>
          <w:sz w:val="24"/>
        </w:rPr>
        <w:t>未成年人辨别是非能力和自我控制能力都较成年人弱，容易出现反复犯罪，因而再次犯罪的未成年人，其主观恶性和人身危险性不一定大。因此，将未成年人像成年人一样作为累犯适格的主体，并不利于未成年人再犯的改造，只会将其进一步推向犯罪的深渊。</w:t>
      </w:r>
      <w:r>
        <w:rPr>
          <w:rStyle w:val="a5"/>
          <w:rFonts w:hint="eastAsia"/>
        </w:rPr>
        <w:t>[2]</w:t>
      </w:r>
    </w:p>
    <w:p w14:paraId="5DBF5534" w14:textId="77777777" w:rsidR="00761D5E" w:rsidRDefault="00805A9F">
      <w:pPr>
        <w:numPr>
          <w:ilvl w:val="0"/>
          <w:numId w:val="2"/>
        </w:numPr>
        <w:spacing w:line="360" w:lineRule="auto"/>
        <w:rPr>
          <w:rFonts w:ascii="楷体" w:eastAsia="楷体" w:hAnsi="楷体" w:cs="楷体" w:hint="eastAsia"/>
          <w:b/>
          <w:sz w:val="24"/>
        </w:rPr>
      </w:pPr>
      <w:r>
        <w:rPr>
          <w:rFonts w:ascii="楷体" w:eastAsia="楷体" w:hAnsi="楷体" w:cs="楷体" w:hint="eastAsia"/>
          <w:b/>
          <w:sz w:val="24"/>
        </w:rPr>
        <w:t>不公开审理</w:t>
      </w:r>
    </w:p>
    <w:p w14:paraId="1034A6A0"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bCs/>
          <w:sz w:val="24"/>
        </w:rPr>
        <w:t>《</w:t>
      </w:r>
      <w:r>
        <w:rPr>
          <w:rFonts w:ascii="宋体" w:eastAsia="宋体" w:hAnsi="宋体" w:cs="宋体" w:hint="eastAsia"/>
          <w:bCs/>
          <w:sz w:val="24"/>
        </w:rPr>
        <w:t>中华人民共和国</w:t>
      </w:r>
      <w:r>
        <w:rPr>
          <w:rFonts w:ascii="宋体" w:eastAsia="宋体" w:hAnsi="宋体" w:cs="宋体"/>
          <w:bCs/>
          <w:sz w:val="24"/>
        </w:rPr>
        <w:t>刑事诉讼法》第</w:t>
      </w:r>
      <w:r>
        <w:rPr>
          <w:rFonts w:ascii="宋体" w:eastAsia="宋体" w:hAnsi="宋体" w:cs="宋体" w:hint="eastAsia"/>
          <w:bCs/>
          <w:sz w:val="24"/>
        </w:rPr>
        <w:t>一百五十二</w:t>
      </w:r>
      <w:r>
        <w:rPr>
          <w:rFonts w:ascii="宋体" w:eastAsia="宋体" w:hAnsi="宋体" w:cs="宋体"/>
          <w:bCs/>
          <w:sz w:val="24"/>
        </w:rPr>
        <w:t>条规定：</w:t>
      </w:r>
    </w:p>
    <w:p w14:paraId="4EE90FD5"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w:t>
      </w:r>
      <w:r>
        <w:rPr>
          <w:rFonts w:ascii="宋体" w:eastAsia="宋体" w:hAnsi="宋体" w:cs="宋体"/>
          <w:bCs/>
          <w:sz w:val="24"/>
        </w:rPr>
        <w:t>14</w:t>
      </w:r>
      <w:r>
        <w:rPr>
          <w:rFonts w:ascii="宋体" w:eastAsia="宋体" w:hAnsi="宋体" w:cs="宋体"/>
          <w:bCs/>
          <w:sz w:val="24"/>
        </w:rPr>
        <w:t>岁以上不满</w:t>
      </w:r>
      <w:r>
        <w:rPr>
          <w:rFonts w:ascii="宋体" w:eastAsia="宋体" w:hAnsi="宋体" w:cs="宋体"/>
          <w:bCs/>
          <w:sz w:val="24"/>
        </w:rPr>
        <w:t>16</w:t>
      </w:r>
      <w:r>
        <w:rPr>
          <w:rFonts w:ascii="宋体" w:eastAsia="宋体" w:hAnsi="宋体" w:cs="宋体"/>
          <w:bCs/>
          <w:sz w:val="24"/>
        </w:rPr>
        <w:t>岁未成年犯罪的案件，一律不公开审理。</w:t>
      </w:r>
      <w:r>
        <w:rPr>
          <w:rFonts w:ascii="宋体" w:eastAsia="宋体" w:hAnsi="宋体" w:cs="宋体"/>
          <w:bCs/>
          <w:sz w:val="24"/>
        </w:rPr>
        <w:t>16</w:t>
      </w:r>
      <w:r>
        <w:rPr>
          <w:rFonts w:ascii="宋体" w:eastAsia="宋体" w:hAnsi="宋体" w:cs="宋体"/>
          <w:bCs/>
          <w:sz w:val="24"/>
        </w:rPr>
        <w:t>岁以上不满</w:t>
      </w:r>
      <w:r>
        <w:rPr>
          <w:rFonts w:ascii="宋体" w:eastAsia="宋体" w:hAnsi="宋体" w:cs="宋体"/>
          <w:bCs/>
          <w:sz w:val="24"/>
        </w:rPr>
        <w:t>18</w:t>
      </w:r>
      <w:r>
        <w:rPr>
          <w:rFonts w:ascii="宋体" w:eastAsia="宋体" w:hAnsi="宋体" w:cs="宋体"/>
          <w:bCs/>
          <w:sz w:val="24"/>
        </w:rPr>
        <w:t>岁未成年人犯罪的案件，一般也不公开审理。</w:t>
      </w:r>
      <w:r>
        <w:rPr>
          <w:rFonts w:ascii="宋体" w:eastAsia="宋体" w:hAnsi="宋体" w:cs="宋体" w:hint="eastAsia"/>
          <w:bCs/>
          <w:sz w:val="24"/>
        </w:rPr>
        <w:t>”</w:t>
      </w:r>
    </w:p>
    <w:p w14:paraId="5E1131B3"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bCs/>
          <w:sz w:val="24"/>
        </w:rPr>
        <w:t>《</w:t>
      </w:r>
      <w:r>
        <w:rPr>
          <w:rFonts w:ascii="宋体" w:eastAsia="宋体" w:hAnsi="宋体" w:cs="宋体" w:hint="eastAsia"/>
          <w:bCs/>
          <w:sz w:val="24"/>
        </w:rPr>
        <w:t>中华人民共和国</w:t>
      </w:r>
      <w:r>
        <w:rPr>
          <w:rFonts w:ascii="宋体" w:eastAsia="宋体" w:hAnsi="宋体" w:cs="宋体"/>
          <w:bCs/>
          <w:sz w:val="24"/>
        </w:rPr>
        <w:t>未成年人保护法》第四十五条规定：</w:t>
      </w:r>
    </w:p>
    <w:p w14:paraId="54AC7944"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bCs/>
          <w:sz w:val="24"/>
        </w:rPr>
        <w:t>“</w:t>
      </w:r>
      <w:r>
        <w:rPr>
          <w:rFonts w:ascii="宋体" w:eastAsia="宋体" w:hAnsi="宋体" w:cs="宋体"/>
          <w:bCs/>
          <w:sz w:val="24"/>
        </w:rPr>
        <w:t>对于已满十四周岁不满十六周岁未成年人犯罪的案件，一律不公开审理。已满十六周岁不满十八周岁未成年人犯罪的案件，一般也不公开审理。</w:t>
      </w:r>
      <w:r>
        <w:rPr>
          <w:rFonts w:ascii="宋体" w:eastAsia="宋体" w:hAnsi="宋体" w:cs="宋体"/>
          <w:bCs/>
          <w:sz w:val="24"/>
        </w:rPr>
        <w:t>”</w:t>
      </w:r>
    </w:p>
    <w:p w14:paraId="77B50C5A"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不公开审理有利于保护未成年人的隐私，缓解未成年人的紧张情绪，防止公开审判可能导致的给未成人造成精神创伤、增加改造的难度等不利于其回归社会的消极后果。</w:t>
      </w:r>
    </w:p>
    <w:p w14:paraId="77A7D30D" w14:textId="77777777" w:rsidR="00761D5E" w:rsidRDefault="00805A9F">
      <w:pPr>
        <w:spacing w:line="360" w:lineRule="auto"/>
        <w:rPr>
          <w:rFonts w:ascii="楷体" w:eastAsia="楷体" w:hAnsi="楷体" w:cs="楷体" w:hint="eastAsia"/>
          <w:b/>
          <w:sz w:val="24"/>
        </w:rPr>
      </w:pPr>
      <w:r>
        <w:rPr>
          <w:rFonts w:ascii="楷体" w:eastAsia="楷体" w:hAnsi="楷体" w:cs="楷体" w:hint="eastAsia"/>
          <w:b/>
          <w:sz w:val="24"/>
        </w:rPr>
        <w:t>（五）免除前科报告</w:t>
      </w:r>
    </w:p>
    <w:p w14:paraId="7C588B63"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bCs/>
          <w:sz w:val="24"/>
        </w:rPr>
        <w:t>《刑法》第一百条</w:t>
      </w:r>
      <w:r>
        <w:rPr>
          <w:rFonts w:ascii="宋体" w:eastAsia="宋体" w:hAnsi="宋体" w:cs="宋体" w:hint="eastAsia"/>
          <w:bCs/>
          <w:sz w:val="24"/>
        </w:rPr>
        <w:t>规定：</w:t>
      </w:r>
    </w:p>
    <w:p w14:paraId="6BE843EE"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w:t>
      </w:r>
      <w:r>
        <w:rPr>
          <w:rFonts w:ascii="宋体" w:eastAsia="宋体" w:hAnsi="宋体" w:cs="宋体"/>
          <w:bCs/>
          <w:sz w:val="24"/>
        </w:rPr>
        <w:t>依法受过刑事处罚的人，在入伍、就业的时候，应当如实向有关单位报告自己曾受过刑事处罚，不得隐瞒。</w:t>
      </w:r>
      <w:r>
        <w:rPr>
          <w:rFonts w:ascii="宋体" w:eastAsia="宋体" w:hAnsi="宋体" w:cs="宋体" w:hint="eastAsia"/>
          <w:bCs/>
          <w:sz w:val="24"/>
        </w:rPr>
        <w:t>”</w:t>
      </w:r>
    </w:p>
    <w:p w14:paraId="4883021D"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w:t>
      </w:r>
      <w:r>
        <w:rPr>
          <w:rFonts w:ascii="宋体" w:eastAsia="宋体" w:hAnsi="宋体" w:cs="宋体"/>
          <w:bCs/>
          <w:sz w:val="24"/>
        </w:rPr>
        <w:t>犯罪的时候不满十八周岁被判处五年有期徒刑以下刑罚的人，免除前款规定的报告义务。</w:t>
      </w:r>
      <w:r>
        <w:rPr>
          <w:rFonts w:ascii="宋体" w:eastAsia="宋体" w:hAnsi="宋体" w:cs="宋体" w:hint="eastAsia"/>
          <w:bCs/>
          <w:sz w:val="24"/>
        </w:rPr>
        <w:t>”</w:t>
      </w:r>
    </w:p>
    <w:p w14:paraId="64F4E7BA"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未成年人由于犯罪时年龄尚小，不具备完全的是非辨认能力，如果要求犯罪</w:t>
      </w:r>
      <w:r>
        <w:rPr>
          <w:rFonts w:ascii="宋体" w:eastAsia="宋体" w:hAnsi="宋体" w:cs="宋体" w:hint="eastAsia"/>
          <w:bCs/>
          <w:sz w:val="24"/>
        </w:rPr>
        <w:lastRenderedPageBreak/>
        <w:t>未成年人进行“前科报告”，将不利于犯罪未成年人重返社会，甚至可能造成犯罪未成年人走投无路，重新进行犯罪。因此，对于犯罪未成年人进行“前科消灭”，有利于其重回社会轨道。</w:t>
      </w:r>
    </w:p>
    <w:p w14:paraId="226AB891"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从以上这些处理原则不难看出，我国法律在处理未成年人犯罪时，相对于成年人犯罪，更多持一种宽容态度。鉴于未成年人心智不健全，改造空间大，还有很大的可能重归正常的社会轨道，我国法律采取了以上“</w:t>
      </w:r>
      <w:r>
        <w:rPr>
          <w:rFonts w:ascii="宋体" w:eastAsia="宋体" w:hAnsi="宋体" w:hint="eastAsia"/>
          <w:bCs/>
          <w:sz w:val="24"/>
        </w:rPr>
        <w:t>从宽处理”“</w:t>
      </w:r>
      <w:r>
        <w:rPr>
          <w:rFonts w:ascii="宋体" w:eastAsia="宋体" w:hAnsi="宋体" w:cs="宋体"/>
          <w:bCs/>
          <w:sz w:val="24"/>
        </w:rPr>
        <w:t>死刑</w:t>
      </w:r>
      <w:r>
        <w:rPr>
          <w:rFonts w:ascii="宋体" w:eastAsia="宋体" w:hAnsi="宋体" w:cs="宋体" w:hint="eastAsia"/>
          <w:bCs/>
          <w:sz w:val="24"/>
        </w:rPr>
        <w:t>不</w:t>
      </w:r>
      <w:r>
        <w:rPr>
          <w:rFonts w:ascii="宋体" w:eastAsia="宋体" w:hAnsi="宋体" w:cs="宋体"/>
          <w:bCs/>
          <w:sz w:val="24"/>
        </w:rPr>
        <w:t>适用</w:t>
      </w:r>
      <w:r>
        <w:rPr>
          <w:rFonts w:ascii="宋体" w:eastAsia="宋体" w:hAnsi="宋体" w:cs="宋体" w:hint="eastAsia"/>
          <w:bCs/>
          <w:sz w:val="24"/>
        </w:rPr>
        <w:t>”“累犯不适用”“不公开审理”“免除前科报告”等处理原则，事实上反映的是</w:t>
      </w:r>
      <w:r>
        <w:rPr>
          <w:rFonts w:ascii="宋体" w:eastAsia="宋体" w:hAnsi="宋体" w:hint="eastAsia"/>
          <w:bCs/>
          <w:sz w:val="24"/>
        </w:rPr>
        <w:t>我国法律对未成年人犯罪采取</w:t>
      </w:r>
      <w:r>
        <w:rPr>
          <w:rFonts w:ascii="宋体" w:eastAsia="宋体" w:hAnsi="宋体" w:cs="宋体" w:hint="eastAsia"/>
          <w:bCs/>
          <w:sz w:val="24"/>
        </w:rPr>
        <w:t>“教育、感化、挽救”的法律方针。</w:t>
      </w:r>
    </w:p>
    <w:p w14:paraId="73375F06" w14:textId="77777777" w:rsidR="00761D5E" w:rsidRDefault="00761D5E">
      <w:pPr>
        <w:spacing w:line="360" w:lineRule="auto"/>
        <w:rPr>
          <w:rFonts w:ascii="宋体" w:eastAsia="宋体" w:hAnsi="宋体" w:hint="eastAsia"/>
          <w:bCs/>
          <w:sz w:val="24"/>
        </w:rPr>
      </w:pPr>
    </w:p>
    <w:p w14:paraId="2E456CE8" w14:textId="77777777" w:rsidR="00761D5E" w:rsidRDefault="00805A9F">
      <w:pPr>
        <w:spacing w:line="360" w:lineRule="auto"/>
        <w:rPr>
          <w:rFonts w:ascii="宋体" w:eastAsia="宋体" w:hAnsi="宋体" w:cs="宋体" w:hint="eastAsia"/>
          <w:b/>
          <w:sz w:val="28"/>
          <w:szCs w:val="28"/>
        </w:rPr>
      </w:pPr>
      <w:r>
        <w:rPr>
          <w:rFonts w:ascii="宋体" w:eastAsia="宋体" w:hAnsi="宋体" w:hint="eastAsia"/>
          <w:b/>
          <w:sz w:val="28"/>
          <w:szCs w:val="28"/>
        </w:rPr>
        <w:t>四、我国法律对未成年人犯罪采取</w:t>
      </w:r>
      <w:r>
        <w:rPr>
          <w:rFonts w:ascii="宋体" w:eastAsia="宋体" w:hAnsi="宋体" w:cs="宋体" w:hint="eastAsia"/>
          <w:b/>
          <w:sz w:val="28"/>
          <w:szCs w:val="28"/>
        </w:rPr>
        <w:t>“教育、感化、挽救”的法律方针</w:t>
      </w:r>
    </w:p>
    <w:p w14:paraId="386FC059"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《刑事诉讼法》第二百七十七条规定：</w:t>
      </w:r>
    </w:p>
    <w:p w14:paraId="3232D56C"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“对犯罪的未成年人实行教育、感化、挽救的方针，坚持教育为主、惩罚为辅的原则。”</w:t>
      </w:r>
    </w:p>
    <w:p w14:paraId="633267D3"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《人民检察院刑事诉讼规则》第四百五十七条对此予以重申：</w:t>
      </w:r>
    </w:p>
    <w:p w14:paraId="1FC5F075"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“人民检察院办理未成年人刑事案件，应当贯彻‘教育、感化、挽救’方针和‘教育为主、惩罚为辅’的原则，坚持优先保护、特殊保护、双向保护，以帮助教育和预防重新犯罪为目的。</w:t>
      </w:r>
      <w:r>
        <w:rPr>
          <w:rFonts w:ascii="宋体" w:eastAsia="宋体" w:hAnsi="宋体" w:cs="宋体" w:hint="eastAsia"/>
          <w:bCs/>
          <w:sz w:val="24"/>
        </w:rPr>
        <w:t xml:space="preserve"> </w:t>
      </w:r>
      <w:r>
        <w:rPr>
          <w:rFonts w:ascii="宋体" w:eastAsia="宋体" w:hAnsi="宋体" w:cs="宋体" w:hint="eastAsia"/>
          <w:bCs/>
          <w:sz w:val="24"/>
        </w:rPr>
        <w:t>人民检察院可以借助社会力量开展帮助教育未成年人的工作。”</w:t>
      </w:r>
    </w:p>
    <w:p w14:paraId="07A67413" w14:textId="77777777" w:rsidR="00761D5E" w:rsidRDefault="00805A9F">
      <w:pPr>
        <w:spacing w:line="360" w:lineRule="auto"/>
        <w:ind w:firstLine="420"/>
        <w:rPr>
          <w:rFonts w:ascii="宋体" w:eastAsia="宋体" w:hAnsi="宋体" w:hint="eastAsia"/>
          <w:bCs/>
          <w:sz w:val="24"/>
        </w:rPr>
      </w:pPr>
      <w:r>
        <w:rPr>
          <w:rFonts w:ascii="宋体" w:eastAsia="宋体" w:hAnsi="宋体" w:hint="eastAsia"/>
          <w:bCs/>
          <w:sz w:val="24"/>
        </w:rPr>
        <w:t>这些条款从法律上规定了司法机关在办理未成年人刑事案件时要采取“教育、感化、挽救”的方针，综合考虑“教育”与“惩罚”两方面内容，以</w:t>
      </w:r>
      <w:r>
        <w:rPr>
          <w:rFonts w:ascii="宋体" w:eastAsia="宋体" w:hAnsi="宋体" w:cs="宋体" w:hint="eastAsia"/>
          <w:bCs/>
          <w:sz w:val="24"/>
        </w:rPr>
        <w:t>“教育为主，惩罚为辅”。</w:t>
      </w:r>
    </w:p>
    <w:p w14:paraId="17BFBFE4" w14:textId="77777777" w:rsidR="00761D5E" w:rsidRDefault="00805A9F">
      <w:pPr>
        <w:spacing w:line="360" w:lineRule="auto"/>
        <w:ind w:firstLine="420"/>
        <w:rPr>
          <w:rFonts w:ascii="宋体" w:eastAsia="宋体" w:hAnsi="宋体" w:hint="eastAsia"/>
          <w:bCs/>
          <w:sz w:val="24"/>
        </w:rPr>
      </w:pPr>
      <w:r>
        <w:rPr>
          <w:rFonts w:ascii="宋体" w:eastAsia="宋体" w:hAnsi="宋体" w:hint="eastAsia"/>
          <w:bCs/>
          <w:sz w:val="24"/>
        </w:rPr>
        <w:t>在“教育为主”刑事政策指导下，对未成年人改造仅是手段，更深层次来说，所有的制度设计实质在于挽救未成年犯罪人，使其能够重回正常的社会轨道。</w:t>
      </w:r>
      <w:r>
        <w:rPr>
          <w:rStyle w:val="a5"/>
        </w:rPr>
        <w:t>[1]</w:t>
      </w:r>
    </w:p>
    <w:p w14:paraId="32315024" w14:textId="77777777" w:rsidR="00761D5E" w:rsidRDefault="00761D5E">
      <w:pPr>
        <w:spacing w:line="360" w:lineRule="auto"/>
        <w:rPr>
          <w:rFonts w:ascii="宋体" w:eastAsia="宋体" w:hAnsi="宋体" w:hint="eastAsia"/>
          <w:b/>
          <w:sz w:val="24"/>
        </w:rPr>
      </w:pPr>
    </w:p>
    <w:p w14:paraId="28DC4567" w14:textId="77777777" w:rsidR="00761D5E" w:rsidRDefault="00805A9F">
      <w:pPr>
        <w:spacing w:line="360" w:lineRule="auto"/>
        <w:rPr>
          <w:rFonts w:ascii="宋体" w:eastAsia="宋体" w:hAnsi="宋体" w:hint="eastAsia"/>
          <w:b/>
          <w:sz w:val="28"/>
          <w:szCs w:val="28"/>
        </w:rPr>
      </w:pPr>
      <w:r>
        <w:rPr>
          <w:rFonts w:ascii="宋体" w:eastAsia="宋体" w:hAnsi="宋体" w:hint="eastAsia"/>
          <w:b/>
          <w:sz w:val="28"/>
          <w:szCs w:val="28"/>
        </w:rPr>
        <w:t>五、总结与反思</w:t>
      </w:r>
    </w:p>
    <w:p w14:paraId="255F4F78" w14:textId="77777777" w:rsidR="00761D5E" w:rsidRDefault="00805A9F">
      <w:pPr>
        <w:spacing w:line="360" w:lineRule="auto"/>
        <w:ind w:firstLine="420"/>
        <w:rPr>
          <w:rFonts w:ascii="宋体" w:eastAsia="宋体" w:hAnsi="宋体" w:cs="宋体" w:hint="eastAsia"/>
          <w:bCs/>
          <w:sz w:val="24"/>
        </w:rPr>
      </w:pPr>
      <w:r>
        <w:rPr>
          <w:rFonts w:ascii="宋体" w:eastAsia="宋体" w:hAnsi="宋体" w:cs="宋体" w:hint="eastAsia"/>
          <w:bCs/>
          <w:sz w:val="24"/>
        </w:rPr>
        <w:t>从人道主义的角度而言，</w:t>
      </w:r>
      <w:r>
        <w:rPr>
          <w:rFonts w:ascii="宋体" w:eastAsia="宋体" w:hAnsi="宋体" w:hint="eastAsia"/>
          <w:bCs/>
          <w:sz w:val="24"/>
        </w:rPr>
        <w:t>我国法律对未成年人犯罪采取的</w:t>
      </w:r>
      <w:r>
        <w:rPr>
          <w:rFonts w:ascii="宋体" w:eastAsia="宋体" w:hAnsi="宋体" w:cs="宋体" w:hint="eastAsia"/>
          <w:bCs/>
          <w:sz w:val="24"/>
        </w:rPr>
        <w:t>“教育、感化、挽救”法律方针有利于</w:t>
      </w:r>
      <w:r>
        <w:rPr>
          <w:rFonts w:ascii="宋体" w:eastAsia="宋体" w:hAnsi="宋体" w:hint="eastAsia"/>
          <w:bCs/>
          <w:sz w:val="24"/>
        </w:rPr>
        <w:t>挽救未成年犯罪人，使其能够重回正常的社会轨道。</w:t>
      </w:r>
    </w:p>
    <w:p w14:paraId="54787A45" w14:textId="77777777" w:rsidR="00761D5E" w:rsidRDefault="00805A9F">
      <w:pPr>
        <w:spacing w:line="360" w:lineRule="auto"/>
        <w:ind w:firstLine="420"/>
        <w:rPr>
          <w:rStyle w:val="a5"/>
        </w:rPr>
      </w:pPr>
      <w:r>
        <w:rPr>
          <w:rFonts w:ascii="宋体" w:eastAsia="宋体" w:hAnsi="宋体" w:cs="宋体" w:hint="eastAsia"/>
          <w:bCs/>
          <w:sz w:val="24"/>
        </w:rPr>
        <w:t>然而，从被害者与被害者亲属的角度，“被害者”惨死而“行凶者”苟活会让其对法律“寒心”。在案件发生后，社会舆情中普遍存在的对于被害者的共情，</w:t>
      </w:r>
      <w:r>
        <w:rPr>
          <w:rFonts w:ascii="宋体" w:eastAsia="宋体" w:hAnsi="宋体" w:cs="宋体" w:hint="eastAsia"/>
          <w:bCs/>
          <w:sz w:val="24"/>
        </w:rPr>
        <w:lastRenderedPageBreak/>
        <w:t>与对严惩犯罪未成年人的呼声，也表明从朴素的情感而言，严惩犯罪未成年人拥有其合理性与必要性。同时，鉴于网络的飞速发展，未成年人了解世界的渠道增多，“早熟”的可能性增大，其犯罪的严重性也不可同往日而语。故而，在平衡“教育”与“惩罚”的关系时，要同时注重发挥“惩罚”的“效力”与“威慑力”，不让低龄成为恶性犯罪的“免罪金牌”，不让社会对法律“寒心”。</w:t>
      </w:r>
      <w:r>
        <w:rPr>
          <w:rStyle w:val="a5"/>
        </w:rPr>
        <w:t>[3</w:t>
      </w:r>
      <w:r>
        <w:rPr>
          <w:rStyle w:val="a5"/>
          <w:rFonts w:hint="eastAsia"/>
        </w:rPr>
        <w:t>]</w:t>
      </w:r>
    </w:p>
    <w:p w14:paraId="2CF79471" w14:textId="77777777" w:rsidR="00761D5E" w:rsidRDefault="00761D5E">
      <w:pPr>
        <w:spacing w:line="360" w:lineRule="auto"/>
        <w:rPr>
          <w:rFonts w:ascii="宋体" w:eastAsia="宋体" w:hAnsi="宋体" w:hint="eastAsia"/>
          <w:bCs/>
          <w:sz w:val="24"/>
        </w:rPr>
      </w:pPr>
    </w:p>
    <w:p w14:paraId="310671B1" w14:textId="77777777" w:rsidR="00761D5E" w:rsidRDefault="00805A9F">
      <w:pPr>
        <w:spacing w:line="360" w:lineRule="auto"/>
        <w:rPr>
          <w:rFonts w:ascii="宋体" w:eastAsia="宋体" w:hAnsi="宋体" w:hint="eastAsia"/>
          <w:bCs/>
          <w:szCs w:val="21"/>
        </w:rPr>
      </w:pPr>
      <w:r>
        <w:rPr>
          <w:rFonts w:ascii="宋体" w:eastAsia="宋体" w:hAnsi="宋体" w:hint="eastAsia"/>
          <w:bCs/>
          <w:szCs w:val="21"/>
        </w:rPr>
        <w:t>参考文献：</w:t>
      </w:r>
    </w:p>
    <w:p w14:paraId="5F446772" w14:textId="77777777" w:rsidR="00761D5E" w:rsidRDefault="00805A9F">
      <w:pPr>
        <w:spacing w:line="360" w:lineRule="auto"/>
        <w:rPr>
          <w:rFonts w:ascii="宋体" w:eastAsia="宋体" w:hAnsi="宋体" w:hint="eastAsia"/>
          <w:bCs/>
          <w:sz w:val="18"/>
          <w:szCs w:val="18"/>
        </w:rPr>
      </w:pPr>
      <w:r>
        <w:rPr>
          <w:rFonts w:ascii="宋体" w:eastAsia="宋体" w:hAnsi="宋体"/>
          <w:bCs/>
          <w:sz w:val="18"/>
          <w:szCs w:val="18"/>
        </w:rPr>
        <w:t>[1]</w:t>
      </w:r>
      <w:proofErr w:type="gramStart"/>
      <w:r>
        <w:rPr>
          <w:rFonts w:ascii="宋体" w:eastAsia="宋体" w:hAnsi="宋体"/>
          <w:bCs/>
          <w:sz w:val="18"/>
          <w:szCs w:val="18"/>
        </w:rPr>
        <w:t>贺艳梅</w:t>
      </w:r>
      <w:r>
        <w:rPr>
          <w:rFonts w:ascii="宋体" w:eastAsia="宋体" w:hAnsi="宋体"/>
          <w:bCs/>
          <w:sz w:val="18"/>
          <w:szCs w:val="18"/>
        </w:rPr>
        <w:t>,</w:t>
      </w:r>
      <w:proofErr w:type="gramEnd"/>
      <w:r>
        <w:rPr>
          <w:rFonts w:ascii="宋体" w:eastAsia="宋体" w:hAnsi="宋体"/>
          <w:bCs/>
          <w:sz w:val="18"/>
          <w:szCs w:val="18"/>
        </w:rPr>
        <w:t>王寅</w:t>
      </w:r>
      <w:proofErr w:type="gramStart"/>
      <w:r>
        <w:rPr>
          <w:rFonts w:ascii="宋体" w:eastAsia="宋体" w:hAnsi="宋体"/>
          <w:bCs/>
          <w:sz w:val="18"/>
          <w:szCs w:val="18"/>
        </w:rPr>
        <w:t>喆</w:t>
      </w:r>
      <w:r>
        <w:rPr>
          <w:rFonts w:ascii="宋体" w:eastAsia="宋体" w:hAnsi="宋体"/>
          <w:bCs/>
          <w:sz w:val="18"/>
          <w:szCs w:val="18"/>
        </w:rPr>
        <w:t>.</w:t>
      </w:r>
      <w:proofErr w:type="gramEnd"/>
      <w:r>
        <w:rPr>
          <w:rFonts w:ascii="宋体" w:eastAsia="宋体" w:hAnsi="宋体"/>
          <w:bCs/>
          <w:sz w:val="18"/>
          <w:szCs w:val="18"/>
        </w:rPr>
        <w:t>论未成年人犯罪及其刑事政策</w:t>
      </w:r>
      <w:r>
        <w:rPr>
          <w:rFonts w:ascii="宋体" w:eastAsia="宋体" w:hAnsi="宋体"/>
          <w:bCs/>
          <w:sz w:val="18"/>
          <w:szCs w:val="18"/>
        </w:rPr>
        <w:t>[J].</w:t>
      </w:r>
      <w:r>
        <w:rPr>
          <w:rFonts w:ascii="宋体" w:eastAsia="宋体" w:hAnsi="宋体"/>
          <w:bCs/>
          <w:sz w:val="18"/>
          <w:szCs w:val="18"/>
        </w:rPr>
        <w:t>绥化学院</w:t>
      </w:r>
      <w:proofErr w:type="gramStart"/>
      <w:r>
        <w:rPr>
          <w:rFonts w:ascii="宋体" w:eastAsia="宋体" w:hAnsi="宋体"/>
          <w:bCs/>
          <w:sz w:val="18"/>
          <w:szCs w:val="18"/>
        </w:rPr>
        <w:t>学报</w:t>
      </w:r>
      <w:r>
        <w:rPr>
          <w:rFonts w:ascii="宋体" w:eastAsia="宋体" w:hAnsi="宋体"/>
          <w:bCs/>
          <w:sz w:val="18"/>
          <w:szCs w:val="18"/>
        </w:rPr>
        <w:t>,</w:t>
      </w:r>
      <w:proofErr w:type="gramEnd"/>
      <w:r>
        <w:rPr>
          <w:rFonts w:ascii="宋体" w:eastAsia="宋体" w:hAnsi="宋体"/>
          <w:bCs/>
          <w:sz w:val="18"/>
          <w:szCs w:val="18"/>
        </w:rPr>
        <w:t>2019,39</w:t>
      </w:r>
      <w:proofErr w:type="gramStart"/>
      <w:r>
        <w:rPr>
          <w:rFonts w:ascii="宋体" w:eastAsia="宋体" w:hAnsi="宋体"/>
          <w:bCs/>
          <w:sz w:val="18"/>
          <w:szCs w:val="18"/>
        </w:rPr>
        <w:t>(05)</w:t>
      </w:r>
      <w:proofErr w:type="gramEnd"/>
      <w:r>
        <w:rPr>
          <w:rFonts w:ascii="宋体" w:eastAsia="宋体" w:hAnsi="宋体"/>
          <w:bCs/>
          <w:sz w:val="18"/>
          <w:szCs w:val="18"/>
        </w:rPr>
        <w:t>:46-49.</w:t>
      </w:r>
    </w:p>
    <w:p w14:paraId="5E415994" w14:textId="77777777" w:rsidR="00761D5E" w:rsidRDefault="00805A9F">
      <w:pPr>
        <w:spacing w:line="360" w:lineRule="auto"/>
        <w:rPr>
          <w:rFonts w:ascii="宋体" w:eastAsia="宋体" w:hAnsi="宋体" w:hint="eastAsia"/>
          <w:bCs/>
          <w:sz w:val="18"/>
          <w:szCs w:val="18"/>
        </w:rPr>
      </w:pPr>
      <w:r>
        <w:rPr>
          <w:rFonts w:ascii="宋体" w:eastAsia="宋体" w:hAnsi="宋体" w:hint="eastAsia"/>
          <w:bCs/>
          <w:sz w:val="18"/>
          <w:szCs w:val="18"/>
        </w:rPr>
        <w:t>[2]</w:t>
      </w:r>
      <w:proofErr w:type="gramStart"/>
      <w:r>
        <w:rPr>
          <w:rFonts w:ascii="宋体" w:eastAsia="宋体" w:hAnsi="宋体" w:hint="eastAsia"/>
          <w:bCs/>
          <w:sz w:val="18"/>
          <w:szCs w:val="18"/>
        </w:rPr>
        <w:t>李希慧</w:t>
      </w:r>
      <w:r>
        <w:rPr>
          <w:rFonts w:ascii="宋体" w:eastAsia="宋体" w:hAnsi="宋体" w:hint="eastAsia"/>
          <w:bCs/>
          <w:sz w:val="18"/>
          <w:szCs w:val="18"/>
        </w:rPr>
        <w:t>.</w:t>
      </w:r>
      <w:proofErr w:type="gramEnd"/>
      <w:r>
        <w:rPr>
          <w:rFonts w:ascii="宋体" w:eastAsia="宋体" w:hAnsi="宋体" w:hint="eastAsia"/>
          <w:bCs/>
          <w:sz w:val="18"/>
          <w:szCs w:val="18"/>
        </w:rPr>
        <w:t>未成年人犯罪之刑事立法完善</w:t>
      </w:r>
      <w:r>
        <w:rPr>
          <w:rFonts w:ascii="宋体" w:eastAsia="宋体" w:hAnsi="宋体" w:hint="eastAsia"/>
          <w:bCs/>
          <w:sz w:val="18"/>
          <w:szCs w:val="18"/>
        </w:rPr>
        <w:t>[J].</w:t>
      </w:r>
      <w:r>
        <w:rPr>
          <w:rFonts w:ascii="宋体" w:eastAsia="宋体" w:hAnsi="宋体" w:hint="eastAsia"/>
          <w:bCs/>
          <w:sz w:val="18"/>
          <w:szCs w:val="18"/>
        </w:rPr>
        <w:t>国家检察官学院</w:t>
      </w:r>
      <w:proofErr w:type="gramStart"/>
      <w:r>
        <w:rPr>
          <w:rFonts w:ascii="宋体" w:eastAsia="宋体" w:hAnsi="宋体" w:hint="eastAsia"/>
          <w:bCs/>
          <w:sz w:val="18"/>
          <w:szCs w:val="18"/>
        </w:rPr>
        <w:t>学报</w:t>
      </w:r>
      <w:r>
        <w:rPr>
          <w:rFonts w:ascii="宋体" w:eastAsia="宋体" w:hAnsi="宋体" w:hint="eastAsia"/>
          <w:bCs/>
          <w:sz w:val="18"/>
          <w:szCs w:val="18"/>
        </w:rPr>
        <w:t>,2008,(</w:t>
      </w:r>
      <w:proofErr w:type="gramEnd"/>
      <w:r>
        <w:rPr>
          <w:rFonts w:ascii="宋体" w:eastAsia="宋体" w:hAnsi="宋体" w:hint="eastAsia"/>
          <w:bCs/>
          <w:sz w:val="18"/>
          <w:szCs w:val="18"/>
        </w:rPr>
        <w:t>05):112-116.</w:t>
      </w:r>
    </w:p>
    <w:p w14:paraId="0C166274" w14:textId="77777777" w:rsidR="00761D5E" w:rsidRDefault="00805A9F">
      <w:pPr>
        <w:spacing w:line="360" w:lineRule="auto"/>
        <w:rPr>
          <w:rFonts w:ascii="宋体" w:eastAsia="宋体" w:hAnsi="宋体" w:hint="eastAsia"/>
          <w:bCs/>
          <w:sz w:val="18"/>
          <w:szCs w:val="18"/>
        </w:rPr>
      </w:pPr>
      <w:r>
        <w:rPr>
          <w:rFonts w:ascii="宋体" w:eastAsia="宋体" w:hAnsi="宋体" w:hint="eastAsia"/>
          <w:bCs/>
          <w:sz w:val="18"/>
          <w:szCs w:val="18"/>
        </w:rPr>
        <w:t>[</w:t>
      </w:r>
      <w:r>
        <w:rPr>
          <w:rFonts w:ascii="宋体" w:eastAsia="宋体" w:hAnsi="宋体"/>
          <w:bCs/>
          <w:sz w:val="18"/>
          <w:szCs w:val="18"/>
        </w:rPr>
        <w:t>3</w:t>
      </w:r>
      <w:r>
        <w:rPr>
          <w:rFonts w:ascii="宋体" w:eastAsia="宋体" w:hAnsi="宋体" w:hint="eastAsia"/>
          <w:bCs/>
          <w:sz w:val="18"/>
          <w:szCs w:val="18"/>
        </w:rPr>
        <w:t>]</w:t>
      </w:r>
      <w:r>
        <w:rPr>
          <w:rFonts w:ascii="宋体" w:eastAsia="宋体" w:hAnsi="宋体" w:hint="eastAsia"/>
          <w:bCs/>
          <w:sz w:val="18"/>
          <w:szCs w:val="18"/>
        </w:rPr>
        <w:t>伍</w:t>
      </w:r>
      <w:proofErr w:type="gramStart"/>
      <w:r>
        <w:rPr>
          <w:rFonts w:ascii="宋体" w:eastAsia="宋体" w:hAnsi="宋体" w:hint="eastAsia"/>
          <w:bCs/>
          <w:sz w:val="18"/>
          <w:szCs w:val="18"/>
        </w:rPr>
        <w:t>红梅</w:t>
      </w:r>
      <w:r>
        <w:rPr>
          <w:rFonts w:ascii="宋体" w:eastAsia="宋体" w:hAnsi="宋体" w:hint="eastAsia"/>
          <w:bCs/>
          <w:sz w:val="18"/>
          <w:szCs w:val="18"/>
        </w:rPr>
        <w:t>,</w:t>
      </w:r>
      <w:r>
        <w:rPr>
          <w:rFonts w:ascii="宋体" w:eastAsia="宋体" w:hAnsi="宋体" w:hint="eastAsia"/>
          <w:bCs/>
          <w:sz w:val="18"/>
          <w:szCs w:val="18"/>
        </w:rPr>
        <w:t>吴倩</w:t>
      </w:r>
      <w:r>
        <w:rPr>
          <w:rFonts w:ascii="宋体" w:eastAsia="宋体" w:hAnsi="宋体" w:hint="eastAsia"/>
          <w:bCs/>
          <w:sz w:val="18"/>
          <w:szCs w:val="18"/>
        </w:rPr>
        <w:t>,</w:t>
      </w:r>
      <w:r>
        <w:rPr>
          <w:rFonts w:ascii="宋体" w:eastAsia="宋体" w:hAnsi="宋体" w:hint="eastAsia"/>
          <w:bCs/>
          <w:sz w:val="18"/>
          <w:szCs w:val="18"/>
        </w:rPr>
        <w:t>岳明</w:t>
      </w:r>
      <w:r>
        <w:rPr>
          <w:rFonts w:ascii="宋体" w:eastAsia="宋体" w:hAnsi="宋体" w:hint="eastAsia"/>
          <w:bCs/>
          <w:sz w:val="18"/>
          <w:szCs w:val="18"/>
        </w:rPr>
        <w:t>,</w:t>
      </w:r>
      <w:r>
        <w:rPr>
          <w:rFonts w:ascii="宋体" w:eastAsia="宋体" w:hAnsi="宋体" w:hint="eastAsia"/>
          <w:bCs/>
          <w:sz w:val="18"/>
          <w:szCs w:val="18"/>
        </w:rPr>
        <w:t>等</w:t>
      </w:r>
      <w:r>
        <w:rPr>
          <w:rFonts w:ascii="宋体" w:eastAsia="宋体" w:hAnsi="宋体" w:hint="eastAsia"/>
          <w:bCs/>
          <w:sz w:val="18"/>
          <w:szCs w:val="18"/>
        </w:rPr>
        <w:t>.</w:t>
      </w:r>
      <w:proofErr w:type="gramEnd"/>
      <w:r>
        <w:rPr>
          <w:rFonts w:ascii="宋体" w:eastAsia="宋体" w:hAnsi="宋体" w:hint="eastAsia"/>
          <w:bCs/>
          <w:sz w:val="18"/>
          <w:szCs w:val="18"/>
        </w:rPr>
        <w:t>低龄不是恶性犯罪的“免罪金牌”</w:t>
      </w:r>
      <w:r>
        <w:rPr>
          <w:rFonts w:ascii="宋体" w:eastAsia="宋体" w:hAnsi="宋体" w:hint="eastAsia"/>
          <w:bCs/>
          <w:sz w:val="18"/>
          <w:szCs w:val="18"/>
        </w:rPr>
        <w:t>[N].</w:t>
      </w:r>
      <w:r>
        <w:rPr>
          <w:rFonts w:ascii="宋体" w:eastAsia="宋体" w:hAnsi="宋体" w:hint="eastAsia"/>
          <w:bCs/>
          <w:sz w:val="18"/>
          <w:szCs w:val="18"/>
        </w:rPr>
        <w:t>河南法制</w:t>
      </w:r>
      <w:proofErr w:type="gramStart"/>
      <w:r>
        <w:rPr>
          <w:rFonts w:ascii="宋体" w:eastAsia="宋体" w:hAnsi="宋体" w:hint="eastAsia"/>
          <w:bCs/>
          <w:sz w:val="18"/>
          <w:szCs w:val="18"/>
        </w:rPr>
        <w:t>报</w:t>
      </w:r>
      <w:r>
        <w:rPr>
          <w:rFonts w:ascii="宋体" w:eastAsia="宋体" w:hAnsi="宋体" w:hint="eastAsia"/>
          <w:bCs/>
          <w:sz w:val="18"/>
          <w:szCs w:val="18"/>
        </w:rPr>
        <w:t>,</w:t>
      </w:r>
      <w:proofErr w:type="gramEnd"/>
      <w:r>
        <w:rPr>
          <w:rFonts w:ascii="宋体" w:eastAsia="宋体" w:hAnsi="宋体" w:hint="eastAsia"/>
          <w:bCs/>
          <w:sz w:val="18"/>
          <w:szCs w:val="18"/>
        </w:rPr>
        <w:t>2024-04-11</w:t>
      </w:r>
      <w:proofErr w:type="gramStart"/>
      <w:r>
        <w:rPr>
          <w:rFonts w:ascii="宋体" w:eastAsia="宋体" w:hAnsi="宋体" w:hint="eastAsia"/>
          <w:bCs/>
          <w:sz w:val="18"/>
          <w:szCs w:val="18"/>
        </w:rPr>
        <w:t>(003)</w:t>
      </w:r>
      <w:proofErr w:type="gramEnd"/>
      <w:r>
        <w:rPr>
          <w:rFonts w:ascii="宋体" w:eastAsia="宋体" w:hAnsi="宋体" w:hint="eastAsia"/>
          <w:bCs/>
          <w:sz w:val="18"/>
          <w:szCs w:val="18"/>
        </w:rPr>
        <w:t>.</w:t>
      </w:r>
    </w:p>
    <w:p w14:paraId="51CBADE4" w14:textId="77777777" w:rsidR="00761D5E" w:rsidRDefault="00761D5E">
      <w:pPr>
        <w:spacing w:line="360" w:lineRule="auto"/>
        <w:rPr>
          <w:rFonts w:ascii="宋体" w:eastAsia="宋体" w:hAnsi="宋体" w:hint="eastAsia"/>
          <w:bCs/>
          <w:sz w:val="24"/>
        </w:rPr>
      </w:pPr>
    </w:p>
    <w:p w14:paraId="0DDAF50C" w14:textId="77777777" w:rsidR="00761D5E" w:rsidRDefault="00805A9F">
      <w:pPr>
        <w:spacing w:line="360" w:lineRule="auto"/>
        <w:rPr>
          <w:rFonts w:ascii="宋体" w:eastAsia="宋体" w:hAnsi="宋体" w:hint="eastAsia"/>
          <w:bCs/>
          <w:sz w:val="24"/>
        </w:rPr>
      </w:pPr>
      <w:r>
        <w:rPr>
          <w:rFonts w:ascii="宋体" w:eastAsia="宋体" w:hAnsi="宋体" w:hint="eastAsia"/>
          <w:bCs/>
          <w:sz w:val="24"/>
        </w:rPr>
        <w:t>承诺书：我承诺，《我国关于未成年人犯罪的法律实践与反思》论文为本人独立完成，引用他人之处已一一注明出处，绝无抄袭，剽窃行为。</w:t>
      </w:r>
    </w:p>
    <w:sectPr w:rsidR="00761D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16437" w14:textId="77777777" w:rsidR="00805A9F" w:rsidRDefault="00805A9F" w:rsidP="00C15399">
      <w:r>
        <w:separator/>
      </w:r>
    </w:p>
  </w:endnote>
  <w:endnote w:type="continuationSeparator" w:id="0">
    <w:p w14:paraId="4F41F82A" w14:textId="77777777" w:rsidR="00805A9F" w:rsidRDefault="00805A9F" w:rsidP="00C15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Calibri">
    <w:altName w:val="Calibri"/>
    <w:panose1 w:val="020F0502020204030204"/>
    <w:charset w:val="00"/>
    <w:family w:val="swiss"/>
    <w:pitch w:val="variable"/>
    <w:sig w:usb0="E4002EFF" w:usb1="C200247B" w:usb2="00000009" w:usb3="00000000" w:csb0="000001FF" w:csb1="00000000"/>
  </w:font>
  <w:font w:name="楷体">
    <w:altName w:val="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0B7B8" w14:textId="77777777" w:rsidR="00805A9F" w:rsidRDefault="00805A9F" w:rsidP="00C15399">
      <w:r>
        <w:separator/>
      </w:r>
    </w:p>
  </w:footnote>
  <w:footnote w:type="continuationSeparator" w:id="0">
    <w:p w14:paraId="5911F121" w14:textId="77777777" w:rsidR="00805A9F" w:rsidRDefault="00805A9F" w:rsidP="00C15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BC3D49"/>
    <w:multiLevelType w:val="singleLevel"/>
    <w:tmpl w:val="EFBC3D49"/>
    <w:lvl w:ilvl="0">
      <w:start w:val="1"/>
      <w:numFmt w:val="chineseCounting"/>
      <w:suff w:val="nothing"/>
      <w:lvlText w:val="%1、"/>
      <w:lvlJc w:val="left"/>
      <w:rPr>
        <w:rFonts w:hint="eastAsia"/>
      </w:rPr>
    </w:lvl>
  </w:abstractNum>
  <w:abstractNum w:abstractNumId="1" w15:restartNumberingAfterBreak="0">
    <w:nsid w:val="56E597BA"/>
    <w:multiLevelType w:val="singleLevel"/>
    <w:tmpl w:val="56E597BA"/>
    <w:lvl w:ilvl="0">
      <w:start w:val="2"/>
      <w:numFmt w:val="chineseCounting"/>
      <w:suff w:val="nothing"/>
      <w:lvlText w:val="（%1）"/>
      <w:lvlJc w:val="left"/>
      <w:rPr>
        <w:rFonts w:hint="eastAsia"/>
      </w:rPr>
    </w:lvl>
  </w:abstractNum>
  <w:num w:numId="1" w16cid:durableId="149753508">
    <w:abstractNumId w:val="0"/>
  </w:num>
  <w:num w:numId="2" w16cid:durableId="1665278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cxOThhNWNmMDE4ZDZhOWVkNTFjN2Q1M2YzYmZkNGUifQ=="/>
  </w:docVars>
  <w:rsids>
    <w:rsidRoot w:val="00761D5E"/>
    <w:rsid w:val="002954FC"/>
    <w:rsid w:val="00761D5E"/>
    <w:rsid w:val="00805A9F"/>
    <w:rsid w:val="00C15399"/>
    <w:rsid w:val="02E71232"/>
    <w:rsid w:val="07BA42C8"/>
    <w:rsid w:val="0EF16614"/>
    <w:rsid w:val="119146BA"/>
    <w:rsid w:val="14646D36"/>
    <w:rsid w:val="146B41C7"/>
    <w:rsid w:val="16B06050"/>
    <w:rsid w:val="1AB13A73"/>
    <w:rsid w:val="3AF419DD"/>
    <w:rsid w:val="3DD41D77"/>
    <w:rsid w:val="3E5638B9"/>
    <w:rsid w:val="424653B2"/>
    <w:rsid w:val="5A8A326A"/>
    <w:rsid w:val="75931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5CD38"/>
  <w15:docId w15:val="{6C2DD650-8F66-4150-9B61-5687ED38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pPr>
      <w:snapToGrid w:val="0"/>
      <w:jc w:val="left"/>
    </w:pPr>
    <w:rPr>
      <w:sz w:val="18"/>
    </w:rPr>
  </w:style>
  <w:style w:type="character" w:styleId="a5">
    <w:name w:val="footnote reference"/>
    <w:basedOn w:val="a0"/>
    <w:qFormat/>
    <w:rPr>
      <w:vertAlign w:val="superscript"/>
    </w:rPr>
  </w:style>
  <w:style w:type="character" w:customStyle="1" w:styleId="a4">
    <w:name w:val="脚注文本 字符"/>
    <w:link w:val="a3"/>
    <w:qFormat/>
    <w:rPr>
      <w:sz w:val="18"/>
    </w:rPr>
  </w:style>
  <w:style w:type="paragraph" w:styleId="a6">
    <w:name w:val="header"/>
    <w:basedOn w:val="a"/>
    <w:link w:val="a7"/>
    <w:rsid w:val="00C15399"/>
    <w:pPr>
      <w:tabs>
        <w:tab w:val="center" w:pos="4153"/>
        <w:tab w:val="right" w:pos="8306"/>
      </w:tabs>
      <w:snapToGrid w:val="0"/>
      <w:jc w:val="center"/>
    </w:pPr>
    <w:rPr>
      <w:sz w:val="18"/>
      <w:szCs w:val="18"/>
    </w:rPr>
  </w:style>
  <w:style w:type="character" w:customStyle="1" w:styleId="a7">
    <w:name w:val="页眉 字符"/>
    <w:basedOn w:val="a0"/>
    <w:link w:val="a6"/>
    <w:rsid w:val="00C15399"/>
    <w:rPr>
      <w:rFonts w:asciiTheme="minorHAnsi" w:eastAsiaTheme="minorEastAsia" w:hAnsiTheme="minorHAnsi" w:cstheme="minorBidi"/>
      <w:kern w:val="2"/>
      <w:sz w:val="18"/>
      <w:szCs w:val="18"/>
    </w:rPr>
  </w:style>
  <w:style w:type="paragraph" w:styleId="a8">
    <w:name w:val="footer"/>
    <w:basedOn w:val="a"/>
    <w:link w:val="a9"/>
    <w:rsid w:val="00C15399"/>
    <w:pPr>
      <w:tabs>
        <w:tab w:val="center" w:pos="4153"/>
        <w:tab w:val="right" w:pos="8306"/>
      </w:tabs>
      <w:snapToGrid w:val="0"/>
      <w:jc w:val="left"/>
    </w:pPr>
    <w:rPr>
      <w:sz w:val="18"/>
      <w:szCs w:val="18"/>
    </w:rPr>
  </w:style>
  <w:style w:type="character" w:customStyle="1" w:styleId="a9">
    <w:name w:val="页脚 字符"/>
    <w:basedOn w:val="a0"/>
    <w:link w:val="a8"/>
    <w:rsid w:val="00C1539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1659</Words>
  <Characters>1710</Characters>
  <Application>Microsoft Office Word</Application>
  <DocSecurity>0</DocSecurity>
  <Lines>68</Lines>
  <Paragraphs>59</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lxl</dc:creator>
  <cp:lastModifiedBy>执正 玄</cp:lastModifiedBy>
  <cp:revision>2</cp:revision>
  <dcterms:created xsi:type="dcterms:W3CDTF">2024-04-14T10:25:00Z</dcterms:created>
  <dcterms:modified xsi:type="dcterms:W3CDTF">2026-08-29T06:59:00Z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7ED9DEDD8D6445348B477FA6638DDF6D_12</vt:lpwstr>
  </property>
</Properties>
</file>