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文天祥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《指南录后序》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“呜呼，予之及于死者，不知其几矣。诋大酋当死，骂逆贼当死；与贵酋处二十日，争曲直，屡当死；去京口，挟匕首以备不测，几自刭死”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于谦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当年明月，文天祥“留取丹心照汗青”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“粉身碎骨浑不怕，要留清白在人间”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“土木堡之变”后，明英总朱祁镇被俘获，他力排南迁之议，坚请固守，京师九门列兵而守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最终因诬言被害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正直，气节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12E12E71"/>
    <w:rsid w:val="1F2E1614"/>
    <w:rsid w:val="2AA4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162</Characters>
  <Lines>0</Lines>
  <Paragraphs>0</Paragraphs>
  <TotalTime>15</TotalTime>
  <ScaleCrop>false</ScaleCrop>
  <LinksUpToDate>false</LinksUpToDate>
  <CharactersWithSpaces>162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2024-05-07T11:27:16Z</dcterms:created>
  <dc:creator>lxl</dc:creator>
  <cp:lastModifiedBy>玄执正</cp:lastModifiedBy>
  <dcterms:modified xsi:type="dcterms:W3CDTF">2024-05-07T11:43:21Z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0FE256B825644EC4B781CE02725EB0BD_12</vt:lpwstr>
  </property>
</Properties>
</file>