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40" w:after="280"/>
        <w:jc w:val="center"/>
      </w:pPr>
      <w:r>
        <w:rPr>
          <w:rFonts w:ascii="DejaVu Sans" w:hAnsi="DejaVu Sans" w:eastAsia="DejaVu Sans"/>
          <w:b/>
          <w:color w:val="000000"/>
          <w:sz w:val="46"/>
        </w:rPr>
        <w:t>第三阶段建立代码仓库和Codex工作环境分步提示词手册</w:t>
      </w:r>
    </w:p>
    <w:p>
      <w:pPr>
        <w:jc w:val="center"/>
      </w:pPr>
      <w:r>
        <w:rPr>
          <w:rFonts w:ascii="DejaVu Sans" w:hAnsi="DejaVu Sans" w:eastAsia="DejaVu Sans"/>
          <w:b/>
          <w:color w:val="1F4E78"/>
          <w:sz w:val="27"/>
        </w:rPr>
        <w:t>面向网络违法有害信息治理的短视频与图片智能识别溯源系统</w:t>
      </w:r>
    </w:p>
    <w:p>
      <w:pPr>
        <w:spacing w:before="560"/>
        <w:jc w:val="center"/>
      </w:pPr>
      <w:r>
        <w:rPr>
          <w:rFonts w:ascii="DejaVu Sans" w:hAnsi="DejaVu Sans" w:eastAsia="DejaVu Sans"/>
          <w:color w:val="666666"/>
          <w:sz w:val="23"/>
        </w:rPr>
        <w:t>项目实施阶段第三阶段</w:t>
      </w:r>
    </w:p>
    <w:p>
      <w:pPr>
        <w:spacing w:before="1320"/>
        <w:jc w:val="center"/>
      </w:pPr>
      <w:r>
        <w:rPr>
          <w:rFonts w:ascii="DejaVu Sans" w:hAnsi="DejaVu Sans" w:eastAsia="DejaVu Sans"/>
          <w:color w:val="666666"/>
          <w:sz w:val="21"/>
        </w:rPr>
        <w:t>版本 1.0    2026年10月</w:t>
      </w:r>
    </w:p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一 使用说明</w:t>
      </w:r>
    </w:p>
    <w:p>
      <w:pPr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本手册与《第三阶段建立代码仓库和Codex工作环境实施指南》的16个实施步骤一一对应。每个步骤给出责任方式、必要输入、目标产物、可直接复制的提示词和验收标准。步骤1、3、4、6、14和16涉及人工决策、平台权限或最终批准，Codex只能辅助生成材料或在取得明确授权后执行。</w:t>
      </w:r>
    </w:p>
    <w:p>
      <w:pPr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建议每次独立任务先粘贴统一前置提示词，再附对应步骤提示词。方括号内容需要替换为实际路径、版本、批准记录或环境信息。</w:t>
      </w: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二 统一前置提示词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你正在参与“面向网络违法有害信息治理的短视频与图片智能识别溯源系统”建设。当前处于项目实施第三阶段：建立代码仓库和Codex工作环境。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工作依据：项目申报书、系统详细设计实现方案、Codex开发任务分解书、算法研发与训练数据集建设说明、已批准的Technical Baseline 1.0，以及仓库中的README、AGENTS.md、ADR、接口契约和工程规范。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总体要求：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1. 先检查现有仓库、技术基线和约束文件，再开展工作。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2. 不得自行决定代码仓库平台、权限范围、分支保护、安全等级和正式部署方式。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3. 未经明确授权，不得创建外部账号、推送远程仓库、创建合并请求、修改主分支、发布版本或删除文件。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4. 不得把真实账号、密码、Token、SSH私钥、数据库连接串和涉案数据写入代码、配置、日志或提示词。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5. 所有敏感配置必须使用环境变量、Secret或占位符。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6. 不得擅自改变Technical Baseline 1.0中已经批准的技术栈和版本。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7. 发现现有文件与技术基线冲突时，先输出冲突项、影响范围和处理建议，不直接覆盖。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8. 当前阶段只建立工程骨架、开发环境、质量工具和最小连通性验证，不开发完整业务功能。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9. 所有新增代码必须提供对应测试或自动化验证方法。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10. 完成任务后输出修改文件清单、执行命令、测试结果、未完成事项、风险及需要人工确认的内容。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安全要求：不接入真实公安业务数据；不使用真实违法有害信息样本；不将敏感文件提交到Git；日志不得输出凭据、个人信息和原始涉案素材；示例数据使用人工构造或公开无敏感数据。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如果完成任务所需信息不足，请停止有风险的操作，列出缺失信息和需要人工确认的事项。</w:t>
      </w: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三 分步提示词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 确定仓库平台 仓库名称及管理人员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人工决策，Codex形成比较报告和决策表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仓库平台候选、内外网条件、团队角色、运维和采购约束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docs/03-development/repository-platform-options.md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请为本项目编制代码仓库平台选型建议。候选包括公安内网GitLab、学校或项目组自建GitLab、Gitee企业版、GitHub企业版、现有政务云代码管理平台及项目组指定平台。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比较网络可达性、离线部署、账号权限、分支保护、合并请求、CODEOWNERS、CI/CD、Runner、制品与镜像仓库、操作审计、备份恢复、国产化、许可证、运维复杂度、成本和数据安全风险。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结合本项目需内网或离线部署、涉及公安业务、包含算法模型和大文件等特点，提出推荐方案及适用条件，但不要代替项目负责人作最终决定。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同时提供推荐仓库名称、英文标识、仓库所有者角色、管理员角色、开发/测试/算法/运维角色及待人工确认事项。建议英文名称为short-video-image-traceability。将结果保存到docs/03-development/repository-platform-options.md。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至少比较两种可落地平台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推荐方案说明适用前提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未创建外部仓库或账号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管理人员使用角色占位符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步骤2 确定Monorepo或多仓库模式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人工决策，Codex分析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项目模块、团队边界、发布节奏及权限隔离要求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repository-structure-decision.md及ADR-013草案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请比较Monorepo与多仓库模式。项目包含Web前端、业务后端、算法推理服务、模型训练代码、数据处理工具、OpenAPI和JSON Schema共享契约、Docker部署配置、自动化测试和技术文档。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比较代码共享、契约同步、版本管理、CI效率、权限隔离、算法与业务协作、大文件和模型权重管理、发布节奏、团队协作、运维复杂度及后期拆分成本。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给出推荐模式、适用条件、主要风险和规避措施。如果推荐Monorepo，提供一级目录结构和职责，但不要移动或删除现有文件。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保存到docs/03-development/repository-structure-decision.md，并生成docs/02-architecture/architecture-decisions/ADR-013-repository-structure.md，状态为“待批准”。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比较两种模式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模型权重不进入普通Git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ADR状态为待批准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步骤3 明确网络 安全和Codex权限边界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人工确定，Codex生成模板与权限矩阵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网络边界、允许操作、数据分类和审批角色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docs/03-development/codex-permission-boundary.md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建立Codex工作权限和安全边界清单，覆盖允许读取、修改和禁止访问的目录；创建和修改文件；创建分支、本地提交、远程推送和合并请求；安装依赖、执行Docker、访问互联网、下载预训练模型；访问测试数据库、对象存储、GPU；修改CI和部署配置；执行数据库迁移；处理真实业务数据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每项设置“允许、禁止、需单独审批、待确认”，并记录批准角色、授权范围、有效环境、风险、审计方式和撤销方式。不得根据经验替项目组填写实际权限结果，只生成模板、建议默认值和风险说明。保存到docs/03-development/codex-permission-boundary.md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覆盖文件、Git、网络、容器、数据和GPU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每项有审批与审计方式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未把建议写成已授权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步骤4 建立仓库和团队账号权限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仓库管理员执行，Codex生成配置建议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已批准平台、团队角色和最小权限原则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docs/03-development/repository-access-control.md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请根据已批准的仓库平台和团队角色，编制账号及权限配置方案。角色包括项目负责人、技术负责人、仓库管理员、前端、后端、算法、测试、运维、安全审查、只读评审和CI Runner服务账号。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输出权限矩阵，覆盖读取、创建分支、提交、推送功能分支、创建和审核合并请求、合并开发或主分支、创建标签、发布制品、修改CI、管理Secret与Runner、删除分支及修改仓库设置。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同时生成账号开通清单、权限配置检查表、权限回收流程和定期复核要求。不要创建账号，不要生成真实密码、Token或SSH私钥。保存到docs/03-development/repository-access-control.md。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主分支合并严格受控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Secret与Runner权限单列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有权限回收机制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步骤5 根据技术基线设计目录结构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Codex设计，技术负责人评审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Technical Baseline 1.0、系统设计方案和任务分解书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docs/03-development/repository-layout.md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请读取Technical Baseline 1.0、系统详细设计方案和Codex开发任务分解书，设计Monorepo目录结构。一级目录建议包括frontend、backend、ai-services、shared-contracts、data-pipeline、deploy、config、docs、scripts、tests和tools。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为每个目录说明功能、允许和禁止文件、依赖关系、责任团队及构建测试方式。算法部分区分训练代码、推理服务、模型配置、模型评估、模型卡和权重外部引用。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不得把大型数据集、模型权重、真实素材和敏感配置放入Git。输出docs/03-development/repository-layout.md和完整目录树。当前只生成设计，不创建或移动目录。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目录职责无重叠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禁止提交内容明确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未迁移文件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步骤6 人工评审目录和分支策略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人工评审，Codex准备评审包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目录方案、结构决策、访问控制和技术基线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docs/03-development/repository-review-package.md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请生成代码仓库结构与分支策略评审包。评审内容包括仓库模式、一级目录、模块职责、主/开发分支、功能/修复/发布分支命名、合并请求、Code Review人数、CODEOWNERS、CI门禁、版本标签、紧急修复和分支清理。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生成评审议程、决策记录模板、待确认事项、风险清单和批准人占位符，保存到docs/03-development/repository-review-package.md。不得把未评审内容标记为“已批准”。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评审点可逐项确认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含批准角色和日期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未提前冻结方案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步骤7 初始化仓库和基础文件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Codex执行，技术负责人监督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获批目录和分支策略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仓库目录与基础治理文件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已批准的仓库结构和分支策略位于【填写批准文件路径】。请初始化frontend、backend、ai-services、shared-contracts、data-pipeline、deploy、config、docs、scripts、tests和tools目录，并创建README.md、AGENTS.md、CONTRIBUTING.md、SECURITY.md、CODEOWNERS、.gitignore、.editorconfig、.env.example和.pre-commit-config.yaml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只创建获批内容；不删除或覆盖用户文件；同名文件先比较差异；不写真实凭据；不提交数据集和模型权重；README说明项目定位、目录、环境和快速启动；暂不实现完整业务。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完成后运行Git状态、目录结构和敏感文件检查，报告新增文件、未修改文件、冲突项和验证结果。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结构与批准方案一致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基础文件齐全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未破坏已有文件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无真实凭据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步骤8 配置前端 后端和算法开发环境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Codex执行，相关负责人评审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批准的框架和版本、离线软件源条件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前后端和算法依赖配置与锁文件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请按照Technical Baseline 1.0配置开发环境。前端采用批准的Vue 3、TypeScript、Vite、Element Plus、ECharts和测试框架；后端采用批准的Python、FastAPI、Pydantic、SQLAlchemy、Alembic和Pytest；算法服务采用批准的PyTorch、Transformers或MMEngine、OpenCV、FFmpeg和模型服务接口。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以基线实际版本为准，不自行升级。创建或完善frontend/package.json及锁文件、backend/pyproject.toml及锁文件、ai-services环境配置、Node.js与Python版本文件、各模块README和.env.example。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支持离线软件源或内网镜像源，不写真实凭据。运行最小安装和版本检查，记录未验证项。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版本与基线一致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模块依赖隔离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锁文件已生成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未验证项明确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步骤9 配置格式化 静态检查和测试工具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Codex执行，测试负责人评审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仓库结构、语言版本和编码规范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质量工具配置和统一检查命令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配置统一代码质量工具。Python包括批准的Ruff或Flake8、Black、MyPy、Pytest和Coverage；前端包括ESLint、Prettier、Stylelint、Vitest和TypeScript类型检查；通用部分包括EditorConfig、pre-commit、Commitlint、Markdown/YAML/Dockerfile检查、敏感信息扫描和依赖漏洞扫描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配置须与依赖兼容，本地与CI规则一致；不要一次性格式化全部已有代码；先报告问题再分批修复；规则例外需有注释和审批机制。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运行所有可执行检查，输出通过、失败、未执行和建议修复顺序。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前后端检查完整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本地与CI一致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未大规模改写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结果可机器读取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步骤10 编写AGENTS.md等Codex规则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Codex生成，技术负责人审核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项目资料、技术基线、目录与安全要求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AGENTS.md、CONTRIBUTING.md、SECURITY.md和CODEOWNERS候选版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生成根目录AGENTS.md，至少包括项目目标、阶段范围、冻结技术栈、目录职责、允许与禁止修改范围、数据安全、编码规范、接口优先、数据库迁移、模型训练与推理规范、测试与文档要求、Git限制、验证命令、完成报告格式及冲突或权限不足时的停止条件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同时生成或完善CONTRIBUTING.md、SECURITY.md和CODEOWNERS。不得虚构制度；未知项标记待确认；不允许Codex自行推送主分支或发布版本；规则应明确可执行。保存为候选版本，等待审核。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边界和停止条件清楚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验证命令明确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状态为待审核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步骤11 建立最小骨架工程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Codex实现，技术负责人监督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已批准仓库结构和接口约定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前端 后端 算法服务最小骨架及测试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请建立最小骨架工程，只验证工程结构和调用，不开发完整业务。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前端创建基础布局、首页、服务健康状态页并调用后端健康接口；后端提供/api/v1/health和/api/v1/ready，实现统一响应、错误处理、request_id、结构化日志和单元测试；算法服务提供health、ready和模拟推理接口，返回统一模型响应，不加载真实大模型，并提供单元测试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验证“前端→后端→模拟算法服务”调用链。不得连接真实业务数据库或使用真实素材。输出启动命令、服务地址、接口示例、测试结果和已知限制。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三类服务可独立启动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调用链可验证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使用模拟数据和模型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具备测试与日志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步骤12 建立本地开发启动命令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Codex执行，开发负责人评审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现有模块启动测试构建方式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Makefile或等价任务文件及README更新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请建立统一本地开发命令，优先使用Makefile或批准的跨平台工具，并为Windows提供PowerShell入口。至少支持setup、dev、stop、lint、format-check、type-check、test、contract-test、integration-test、build、security-scan、clean和help。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每个命令明确运行目录和前置软件；失败返回非零状态；错误信息可理解；不得删除业务数据；clean仅清理明确临时文件和测试产物；不得输出真实凭据。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更新README的快速启动和常见问题，运行并验证当前环境允许的命令，未执行项如实记录。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统一入口可用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Windows与Linux方式明确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clean无误删风险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README与命令一致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步骤13 建立基础CI流水线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Codex生成，测试和技术负责人审核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代码平台、质量工具和测试命令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GitLab CI或GitHub Actions配置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根据当前平台生成基础CI。阶段包括环境检查、依赖缓存、Python和TypeScript格式/静态检查、前后端及算法服务单元测试、契约测试、敏感信息扫描、依赖漏洞扫描、镜像构建、最小集成测试、测试报告和构建产物归档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普通提交不依赖GPU；GPU和大模型测试使用可选或专用Runner；Secret通过CI变量注入且不出现在日志；明确阻断项和告警项；提供本地等价命令；不发布镜像或部署生产。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生成.gitlab-ci.yml或.github/workflows/ci.yml，并进行语法检查。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普通Runner不依赖GPU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含安全与契约测试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未发布或部署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步骤14 配置Runner Secret和分支保护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平台管理员执行，Codex生成操作手册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CI平台、Runner资源、Secret类别和分支策略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docs/03-development/ci-administrator-guide.md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请生成Runner、CI Secret和分支保护操作手册。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Runner部分覆盖普通CPU、Docker构建、GPU Runner、标签、并发、缓存、网络、日志和隔离；Secret只列变量名称、用途和权限，不填真实值，覆盖测试数据库、对象存储、镜像/制品/模型仓库、扫描平台和证书；分支保护覆盖禁止主分支直推、审批人数、CODEOWNERS、CI通过、禁止强推和随意删除、标签保护及紧急修复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提供Runner在线、Secret不泄露、未授权用户不可直推、CI失败不可合并的验证方法。保存到docs/03-development/ci-administrator-guide.md。未经授权不得修改外部平台设置。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Runner按用途隔离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Secret无真实值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主分支保护明确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有验证方法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步骤15 执行自动化验证并形成报告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Codex执行，人工复核失败项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完整仓库骨架、开发环境和CI配置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development-environment-validation-report.md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执行第三阶段自动化验证，覆盖Git状态、目录和必需文件、Python/Node.js/Docker版本、GPU与CUDA、依赖安装、前后端和算法服务启动、前端调后端、后端调算法服务、格式/静态/类型检查、单元/契约/集成测试、敏感信息和依赖漏洞扫描、Docker Compose启动及CI语法检查。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每项标记通过、失败、未执行或不适用，不得把未执行写成通过。记录实际命令、环境、时间、结果、证据位置、失败原因、修复建议及是否阻塞下一阶段。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生成docs/03-development/development-environment-validation-report.md。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结果可复核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状态严格区分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失败项有修复建议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明确冻结条件</w:t>
      </w:r>
    </w:p>
    <w:p>
      <w:r>
        <w:br w:type="page"/>
      </w:r>
    </w:p>
    <w:p>
      <w:pPr>
        <w:pStyle w:val="Heading2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步骤16 验收并冻结开发环境基线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人工批准后Codex固化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明确批准记录和完整验证报告</w:t>
      </w:r>
    </w:p>
    <w:p>
      <w:pPr>
        <w:spacing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Development Environment Baseline 1.0及变更文件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第三阶段评审已完成，批准记录位于【填写路径或会议纪要编号】。请先检查批准是否覆盖仓库平台、结构、分支、权限、前后端和算法环境、依赖版本、Docker、质量工具、CI、Runner、Secret、AGENTS.md和验证结果。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只有批准完整时，才更新Development Environment Baseline 1.0、将相关ADR改为已批准、固化锁文件与环境版本、更新README与AGENTS.md、生成基线清单、变更申请和回滚要求，并输出建议Git标签和发布说明。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未经明确授权，不推送远程、不创建标签、不发布版本。批准记录缺失或不完整时立即停止冻结，只输出缺失项和影响。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生成development-environment-baseline.md、development-environment-change-request.md和development-environment-acceptance-record.md。</w:t>
      </w:r>
    </w:p>
    <w:p>
      <w:pPr>
        <w:pStyle w:val="Heading3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冻结依据存在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只冻结获批内容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版本配置文档一致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有变更和回滚机制</w:t>
      </w:r>
    </w:p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四 通用复核提示词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请对第三阶段“建立代码仓库和Codex工作环境”的全部成果进行一致性复核。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检查仓库结构与批准方案、技术版本与Technical Baseline 1.0、README/AGENTS.md与实际命令、本地与CI规则、OpenAPI/JSON Schema与骨架代码、Docker Compose服务/端口/环境变量的一致性；检查是否存在真实凭据、数据集、模型权重或涉案素材；检查分支保护、CODEOWNERS和审批规则；检查普通CI是否错误依赖GPU或大型模型；检查验证报告是否把未执行写成通过；检查是否引入未批准组件或大范围修改用户文件；检查是否形成Development Environment Baseline 1.0及变更回滚机制。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输出已通过项、不一致项、安全风险、阻塞项、建议修复顺序和需人工批准事项。不要自动修改已批准文件，先提供最小修复方案。</w:t>
      </w:r>
    </w:p>
    <w:p>
      <w:pPr>
        <w:pStyle w:val="Heading1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五 推荐执行顺序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人工先完成步骤1至4的决策、权限和账号准备。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Codex完成步骤5、7至13以及步骤15的设计、搭建和验证。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人工负责步骤6的评审、步骤14的平台配置和步骤16的验收冻结。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任何需要推送远程仓库、创建标签、发布版本或处理真实数据的操作，都必须单独取得授权。</w:t>
      </w:r>
    </w:p>
    <w:sectPr w:rsidR="00FC693F" w:rsidRPr="0006063C" w:rsidSect="00034616">
      <w:footerReference w:type="default" r:id="rId9"/>
      <w:pgSz w:w="12240" w:h="15840"/>
      <w:pgMar w:top="1077" w:right="1162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color w:val="666666"/>
        <w:sz w:val="17"/>
      </w:rPr>
      <w:t xml:space="preserve">第三阶段建立代码仓库和Codex工作环境分步提示词手册    第 </w:t>
    </w:r>
    <w:fldSimple w:instr="PAGE"/>
    <w:r>
      <w:rPr>
        <w:rFonts w:ascii="DejaVu Sans" w:hAnsi="DejaVu Sans" w:eastAsia="DejaVu Sans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第三阶段建立代码仓库和Codex工作环境分步提示词手册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